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82259">
      <w:pPr>
        <w:pStyle w:val="2"/>
        <w:spacing w:before="0" w:after="0" w:line="24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上海外国语大学国际教育学院本科学生奖学金</w:t>
      </w:r>
    </w:p>
    <w:p w14:paraId="5CDFDE91">
      <w:pPr>
        <w:pStyle w:val="2"/>
        <w:spacing w:before="0" w:after="0" w:line="240" w:lineRule="auto"/>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综合素质测评分评定细则</w:t>
      </w:r>
    </w:p>
    <w:p w14:paraId="1117E84D">
      <w:pPr>
        <w:spacing w:line="360" w:lineRule="auto"/>
        <w:ind w:firstLine="480" w:firstLineChars="200"/>
        <w:rPr>
          <w:rFonts w:ascii="仿宋" w:hAnsi="仿宋" w:eastAsia="仿宋"/>
          <w:snapToGrid w:val="0"/>
          <w:kern w:val="0"/>
          <w:sz w:val="24"/>
        </w:rPr>
      </w:pPr>
      <w:r>
        <w:rPr>
          <w:rFonts w:ascii="仿宋" w:hAnsi="仿宋" w:eastAsia="仿宋"/>
          <w:snapToGrid w:val="0"/>
          <w:kern w:val="0"/>
          <w:sz w:val="24"/>
        </w:rPr>
        <w:t>为</w:t>
      </w:r>
      <w:r>
        <w:rPr>
          <w:rFonts w:hint="eastAsia" w:ascii="仿宋" w:hAnsi="仿宋" w:eastAsia="仿宋"/>
          <w:snapToGrid w:val="0"/>
          <w:kern w:val="0"/>
          <w:sz w:val="24"/>
        </w:rPr>
        <w:t>培育思想素质过硬、中外人文底蕴深厚、跨文化沟通和专业能力突出、创新创业能力强的“多语种+”卓越国际化人才</w:t>
      </w:r>
      <w:r>
        <w:rPr>
          <w:rFonts w:ascii="仿宋" w:hAnsi="仿宋" w:eastAsia="仿宋"/>
          <w:snapToGrid w:val="0"/>
          <w:kern w:val="0"/>
          <w:sz w:val="24"/>
        </w:rPr>
        <w:t>，</w:t>
      </w:r>
      <w:r>
        <w:rPr>
          <w:rFonts w:hint="eastAsia" w:ascii="仿宋" w:hAnsi="仿宋" w:eastAsia="仿宋"/>
          <w:snapToGrid w:val="0"/>
          <w:kern w:val="0"/>
          <w:sz w:val="24"/>
        </w:rPr>
        <w:t>依据《上海外国语大学本科学生奖学金实施办法》及《上海外国语大学本科学生奖学金综合素质测评分评定及各类竞赛奖励实施办法（试行）》，制定本细则。</w:t>
      </w:r>
    </w:p>
    <w:p w14:paraId="3387EEEB">
      <w:pPr>
        <w:spacing w:line="360" w:lineRule="auto"/>
        <w:ind w:firstLine="482" w:firstLineChars="200"/>
        <w:rPr>
          <w:rFonts w:ascii="仿宋" w:hAnsi="仿宋" w:eastAsia="仿宋" w:cs="宋体"/>
          <w:b/>
          <w:snapToGrid w:val="0"/>
          <w:kern w:val="0"/>
          <w:sz w:val="24"/>
        </w:rPr>
      </w:pPr>
      <w:r>
        <w:rPr>
          <w:rFonts w:hint="eastAsia" w:ascii="仿宋" w:hAnsi="仿宋" w:eastAsia="仿宋" w:cs="宋体"/>
          <w:b/>
          <w:snapToGrid w:val="0"/>
          <w:kern w:val="0"/>
          <w:sz w:val="24"/>
        </w:rPr>
        <w:t>一、</w:t>
      </w:r>
      <w:r>
        <w:rPr>
          <w:rFonts w:ascii="仿宋" w:hAnsi="仿宋" w:eastAsia="仿宋" w:cs="宋体"/>
          <w:b/>
          <w:snapToGrid w:val="0"/>
          <w:kern w:val="0"/>
          <w:sz w:val="24"/>
        </w:rPr>
        <w:t>综合素质</w:t>
      </w:r>
      <w:r>
        <w:rPr>
          <w:rFonts w:hint="eastAsia" w:ascii="仿宋" w:hAnsi="仿宋" w:eastAsia="仿宋" w:cs="宋体"/>
          <w:b/>
          <w:snapToGrid w:val="0"/>
          <w:kern w:val="0"/>
          <w:sz w:val="24"/>
        </w:rPr>
        <w:t>测</w:t>
      </w:r>
      <w:r>
        <w:rPr>
          <w:rFonts w:ascii="仿宋" w:hAnsi="仿宋" w:eastAsia="仿宋" w:cs="宋体"/>
          <w:b/>
          <w:snapToGrid w:val="0"/>
          <w:kern w:val="0"/>
          <w:sz w:val="24"/>
        </w:rPr>
        <w:t>评分内容</w:t>
      </w:r>
    </w:p>
    <w:p w14:paraId="0D09EF60">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综合素质测评分包括：思想道德、集体观念、社会实践、学术创新四个方面。基本分为15分，满分为20分。</w:t>
      </w:r>
    </w:p>
    <w:tbl>
      <w:tblPr>
        <w:tblStyle w:val="5"/>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699"/>
        <w:gridCol w:w="1763"/>
        <w:gridCol w:w="1781"/>
        <w:gridCol w:w="1777"/>
      </w:tblGrid>
      <w:tr w14:paraId="657C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92" w:type="dxa"/>
            <w:shd w:val="clear" w:color="auto" w:fill="auto"/>
            <w:tcMar>
              <w:left w:w="0" w:type="dxa"/>
              <w:right w:w="0" w:type="dxa"/>
            </w:tcMar>
            <w:vAlign w:val="center"/>
          </w:tcPr>
          <w:p w14:paraId="73BE5288">
            <w:pPr>
              <w:spacing w:line="360" w:lineRule="auto"/>
              <w:jc w:val="center"/>
              <w:rPr>
                <w:rFonts w:ascii="仿宋" w:hAnsi="仿宋" w:eastAsia="仿宋"/>
              </w:rPr>
            </w:pPr>
            <w:r>
              <w:rPr>
                <w:rFonts w:hint="eastAsia" w:ascii="仿宋" w:hAnsi="仿宋" w:eastAsia="仿宋"/>
                <w:sz w:val="24"/>
              </w:rPr>
              <w:t>类别</w:t>
            </w:r>
          </w:p>
        </w:tc>
        <w:tc>
          <w:tcPr>
            <w:tcW w:w="7020" w:type="dxa"/>
            <w:gridSpan w:val="4"/>
            <w:shd w:val="clear" w:color="auto" w:fill="auto"/>
            <w:tcMar>
              <w:left w:w="0" w:type="dxa"/>
              <w:right w:w="0" w:type="dxa"/>
            </w:tcMar>
            <w:vAlign w:val="center"/>
          </w:tcPr>
          <w:p w14:paraId="3CC681B7">
            <w:pPr>
              <w:spacing w:line="360" w:lineRule="auto"/>
              <w:jc w:val="center"/>
              <w:rPr>
                <w:rFonts w:ascii="仿宋" w:hAnsi="仿宋" w:eastAsia="仿宋"/>
              </w:rPr>
            </w:pPr>
            <w:r>
              <w:rPr>
                <w:rFonts w:hint="eastAsia" w:ascii="仿宋" w:hAnsi="仿宋" w:eastAsia="仿宋"/>
                <w:sz w:val="24"/>
              </w:rPr>
              <w:t>综合素质测评分</w:t>
            </w:r>
          </w:p>
        </w:tc>
      </w:tr>
      <w:tr w14:paraId="6B7E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992" w:type="dxa"/>
            <w:shd w:val="clear" w:color="auto" w:fill="auto"/>
            <w:tcMar>
              <w:left w:w="0" w:type="dxa"/>
              <w:right w:w="0" w:type="dxa"/>
            </w:tcMar>
            <w:vAlign w:val="center"/>
          </w:tcPr>
          <w:p w14:paraId="12AA9120">
            <w:pPr>
              <w:spacing w:line="360" w:lineRule="auto"/>
              <w:jc w:val="center"/>
              <w:rPr>
                <w:rFonts w:ascii="仿宋" w:hAnsi="仿宋" w:eastAsia="仿宋"/>
              </w:rPr>
            </w:pPr>
            <w:r>
              <w:rPr>
                <w:rFonts w:hint="eastAsia" w:ascii="仿宋" w:hAnsi="仿宋" w:eastAsia="仿宋"/>
                <w:sz w:val="24"/>
              </w:rPr>
              <w:t>项目</w:t>
            </w:r>
          </w:p>
        </w:tc>
        <w:tc>
          <w:tcPr>
            <w:tcW w:w="1699" w:type="dxa"/>
            <w:shd w:val="clear" w:color="auto" w:fill="auto"/>
            <w:tcMar>
              <w:left w:w="0" w:type="dxa"/>
              <w:right w:w="0" w:type="dxa"/>
            </w:tcMar>
            <w:vAlign w:val="center"/>
          </w:tcPr>
          <w:p w14:paraId="16F51718">
            <w:pPr>
              <w:spacing w:line="360" w:lineRule="auto"/>
              <w:jc w:val="center"/>
              <w:rPr>
                <w:rFonts w:ascii="仿宋" w:hAnsi="仿宋" w:eastAsia="仿宋"/>
              </w:rPr>
            </w:pPr>
            <w:r>
              <w:rPr>
                <w:rFonts w:hint="eastAsia" w:ascii="仿宋" w:hAnsi="仿宋" w:eastAsia="仿宋"/>
                <w:sz w:val="24"/>
              </w:rPr>
              <w:t>思想道德</w:t>
            </w:r>
          </w:p>
        </w:tc>
        <w:tc>
          <w:tcPr>
            <w:tcW w:w="1763" w:type="dxa"/>
            <w:shd w:val="clear" w:color="auto" w:fill="auto"/>
            <w:vAlign w:val="center"/>
          </w:tcPr>
          <w:p w14:paraId="3796A8EF">
            <w:pPr>
              <w:spacing w:line="360" w:lineRule="auto"/>
              <w:jc w:val="center"/>
              <w:rPr>
                <w:rFonts w:ascii="仿宋" w:hAnsi="仿宋" w:eastAsia="仿宋"/>
              </w:rPr>
            </w:pPr>
            <w:r>
              <w:rPr>
                <w:rFonts w:hint="eastAsia" w:ascii="仿宋" w:hAnsi="仿宋" w:eastAsia="仿宋"/>
                <w:sz w:val="24"/>
              </w:rPr>
              <w:t>集体观念</w:t>
            </w:r>
          </w:p>
        </w:tc>
        <w:tc>
          <w:tcPr>
            <w:tcW w:w="1781" w:type="dxa"/>
            <w:shd w:val="clear" w:color="auto" w:fill="auto"/>
            <w:vAlign w:val="center"/>
          </w:tcPr>
          <w:p w14:paraId="1B5401B9">
            <w:pPr>
              <w:spacing w:line="360" w:lineRule="auto"/>
              <w:jc w:val="center"/>
              <w:rPr>
                <w:rFonts w:ascii="仿宋" w:hAnsi="仿宋" w:eastAsia="仿宋"/>
              </w:rPr>
            </w:pPr>
            <w:r>
              <w:rPr>
                <w:rFonts w:hint="eastAsia" w:ascii="仿宋" w:hAnsi="仿宋" w:eastAsia="仿宋"/>
                <w:sz w:val="24"/>
              </w:rPr>
              <w:t>社会实践</w:t>
            </w:r>
          </w:p>
        </w:tc>
        <w:tc>
          <w:tcPr>
            <w:tcW w:w="1777" w:type="dxa"/>
            <w:shd w:val="clear" w:color="auto" w:fill="auto"/>
            <w:vAlign w:val="center"/>
          </w:tcPr>
          <w:p w14:paraId="47170173">
            <w:pPr>
              <w:spacing w:line="360" w:lineRule="auto"/>
              <w:jc w:val="center"/>
              <w:rPr>
                <w:rFonts w:ascii="仿宋" w:hAnsi="仿宋" w:eastAsia="仿宋"/>
              </w:rPr>
            </w:pPr>
            <w:r>
              <w:rPr>
                <w:rFonts w:hint="eastAsia" w:ascii="仿宋" w:hAnsi="仿宋" w:eastAsia="仿宋"/>
                <w:sz w:val="24"/>
              </w:rPr>
              <w:t>学术创新</w:t>
            </w:r>
          </w:p>
        </w:tc>
      </w:tr>
      <w:tr w14:paraId="3D77D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92" w:type="dxa"/>
            <w:shd w:val="clear" w:color="auto" w:fill="auto"/>
            <w:tcMar>
              <w:left w:w="0" w:type="dxa"/>
              <w:right w:w="0" w:type="dxa"/>
            </w:tcMar>
            <w:vAlign w:val="center"/>
          </w:tcPr>
          <w:p w14:paraId="579A9F32">
            <w:pPr>
              <w:spacing w:line="360" w:lineRule="auto"/>
              <w:jc w:val="center"/>
              <w:rPr>
                <w:rFonts w:ascii="仿宋" w:hAnsi="仿宋" w:eastAsia="仿宋"/>
              </w:rPr>
            </w:pPr>
            <w:r>
              <w:rPr>
                <w:rFonts w:hint="eastAsia" w:ascii="仿宋" w:hAnsi="仿宋" w:eastAsia="仿宋"/>
                <w:sz w:val="24"/>
              </w:rPr>
              <w:t>分值</w:t>
            </w:r>
          </w:p>
        </w:tc>
        <w:tc>
          <w:tcPr>
            <w:tcW w:w="1699" w:type="dxa"/>
            <w:shd w:val="clear" w:color="auto" w:fill="auto"/>
            <w:tcMar>
              <w:left w:w="0" w:type="dxa"/>
              <w:right w:w="0" w:type="dxa"/>
            </w:tcMar>
            <w:vAlign w:val="center"/>
          </w:tcPr>
          <w:p w14:paraId="2780AF11">
            <w:pPr>
              <w:spacing w:line="360" w:lineRule="auto"/>
              <w:jc w:val="center"/>
              <w:rPr>
                <w:rFonts w:ascii="仿宋" w:hAnsi="仿宋" w:eastAsia="仿宋"/>
              </w:rPr>
            </w:pPr>
            <w:r>
              <w:rPr>
                <w:rFonts w:hint="eastAsia" w:ascii="仿宋" w:hAnsi="仿宋" w:eastAsia="仿宋"/>
                <w:sz w:val="24"/>
              </w:rPr>
              <w:t>6</w:t>
            </w:r>
          </w:p>
        </w:tc>
        <w:tc>
          <w:tcPr>
            <w:tcW w:w="1763" w:type="dxa"/>
            <w:shd w:val="clear" w:color="auto" w:fill="auto"/>
            <w:vAlign w:val="center"/>
          </w:tcPr>
          <w:p w14:paraId="5096BBC2">
            <w:pPr>
              <w:spacing w:line="360" w:lineRule="auto"/>
              <w:jc w:val="center"/>
              <w:rPr>
                <w:rFonts w:ascii="仿宋" w:hAnsi="仿宋" w:eastAsia="仿宋"/>
              </w:rPr>
            </w:pPr>
            <w:r>
              <w:rPr>
                <w:rFonts w:hint="eastAsia" w:ascii="仿宋" w:hAnsi="仿宋" w:eastAsia="仿宋"/>
                <w:sz w:val="24"/>
              </w:rPr>
              <w:t>5</w:t>
            </w:r>
          </w:p>
        </w:tc>
        <w:tc>
          <w:tcPr>
            <w:tcW w:w="1781" w:type="dxa"/>
            <w:shd w:val="clear" w:color="auto" w:fill="auto"/>
            <w:vAlign w:val="center"/>
          </w:tcPr>
          <w:p w14:paraId="2E1C7D5E">
            <w:pPr>
              <w:spacing w:line="360" w:lineRule="auto"/>
              <w:jc w:val="center"/>
              <w:rPr>
                <w:rFonts w:ascii="仿宋" w:hAnsi="仿宋" w:eastAsia="仿宋"/>
              </w:rPr>
            </w:pPr>
            <w:r>
              <w:rPr>
                <w:rFonts w:hint="eastAsia" w:ascii="仿宋" w:hAnsi="仿宋" w:eastAsia="仿宋"/>
                <w:sz w:val="24"/>
              </w:rPr>
              <w:t>5</w:t>
            </w:r>
          </w:p>
        </w:tc>
        <w:tc>
          <w:tcPr>
            <w:tcW w:w="1777" w:type="dxa"/>
            <w:shd w:val="clear" w:color="auto" w:fill="auto"/>
            <w:vAlign w:val="center"/>
          </w:tcPr>
          <w:p w14:paraId="7147FEE1">
            <w:pPr>
              <w:spacing w:line="360" w:lineRule="auto"/>
              <w:jc w:val="center"/>
              <w:rPr>
                <w:rFonts w:ascii="仿宋" w:hAnsi="仿宋" w:eastAsia="仿宋"/>
              </w:rPr>
            </w:pPr>
            <w:r>
              <w:rPr>
                <w:rFonts w:hint="eastAsia" w:ascii="仿宋" w:hAnsi="仿宋" w:eastAsia="仿宋"/>
                <w:sz w:val="24"/>
              </w:rPr>
              <w:t>4</w:t>
            </w:r>
          </w:p>
        </w:tc>
      </w:tr>
      <w:tr w14:paraId="4AD8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992" w:type="dxa"/>
            <w:shd w:val="clear" w:color="auto" w:fill="auto"/>
            <w:tcMar>
              <w:left w:w="0" w:type="dxa"/>
              <w:right w:w="0" w:type="dxa"/>
            </w:tcMar>
            <w:vAlign w:val="center"/>
          </w:tcPr>
          <w:p w14:paraId="23802DE5">
            <w:pPr>
              <w:spacing w:line="360" w:lineRule="auto"/>
              <w:jc w:val="center"/>
              <w:rPr>
                <w:rFonts w:ascii="仿宋" w:hAnsi="仿宋" w:eastAsia="仿宋"/>
              </w:rPr>
            </w:pPr>
            <w:r>
              <w:rPr>
                <w:rFonts w:hint="eastAsia" w:ascii="仿宋" w:hAnsi="仿宋" w:eastAsia="仿宋"/>
                <w:sz w:val="24"/>
              </w:rPr>
              <w:t>评分</w:t>
            </w:r>
          </w:p>
        </w:tc>
        <w:tc>
          <w:tcPr>
            <w:tcW w:w="7020" w:type="dxa"/>
            <w:gridSpan w:val="4"/>
            <w:shd w:val="clear" w:color="auto" w:fill="auto"/>
            <w:tcMar>
              <w:left w:w="0" w:type="dxa"/>
              <w:right w:w="0" w:type="dxa"/>
            </w:tcMar>
            <w:vAlign w:val="center"/>
          </w:tcPr>
          <w:p w14:paraId="450DD40F">
            <w:pPr>
              <w:spacing w:line="360" w:lineRule="auto"/>
              <w:jc w:val="center"/>
              <w:rPr>
                <w:rFonts w:ascii="仿宋" w:hAnsi="仿宋" w:eastAsia="仿宋"/>
              </w:rPr>
            </w:pPr>
            <w:r>
              <w:rPr>
                <w:rFonts w:hint="eastAsia" w:ascii="仿宋" w:hAnsi="仿宋" w:eastAsia="仿宋"/>
                <w:sz w:val="24"/>
              </w:rPr>
              <w:t>20分</w:t>
            </w:r>
          </w:p>
        </w:tc>
      </w:tr>
    </w:tbl>
    <w:p w14:paraId="72940FEE">
      <w:pPr>
        <w:spacing w:line="360" w:lineRule="auto"/>
        <w:ind w:firstLine="482" w:firstLineChars="200"/>
        <w:rPr>
          <w:rFonts w:ascii="仿宋" w:hAnsi="仿宋" w:eastAsia="仿宋" w:cs="宋体"/>
          <w:b/>
          <w:snapToGrid w:val="0"/>
          <w:kern w:val="0"/>
          <w:sz w:val="24"/>
        </w:rPr>
      </w:pPr>
      <w:r>
        <w:rPr>
          <w:rFonts w:hint="eastAsia" w:ascii="仿宋" w:hAnsi="仿宋" w:eastAsia="仿宋" w:cs="宋体"/>
          <w:b/>
          <w:snapToGrid w:val="0"/>
          <w:kern w:val="0"/>
          <w:sz w:val="24"/>
        </w:rPr>
        <w:t>二、综合素质测评分标准</w:t>
      </w:r>
    </w:p>
    <w:p w14:paraId="0AA17EB7">
      <w:pPr>
        <w:spacing w:line="360" w:lineRule="auto"/>
        <w:ind w:firstLine="482" w:firstLineChars="200"/>
        <w:rPr>
          <w:rFonts w:ascii="仿宋" w:hAnsi="仿宋" w:eastAsia="仿宋" w:cs="宋体"/>
          <w:b/>
          <w:snapToGrid w:val="0"/>
          <w:kern w:val="0"/>
          <w:sz w:val="24"/>
        </w:rPr>
      </w:pPr>
      <w:r>
        <w:rPr>
          <w:rFonts w:hint="eastAsia" w:ascii="仿宋" w:hAnsi="仿宋" w:eastAsia="仿宋" w:cs="宋体"/>
          <w:b/>
          <w:snapToGrid w:val="0"/>
          <w:kern w:val="0"/>
          <w:sz w:val="24"/>
        </w:rPr>
        <w:t>A</w:t>
      </w:r>
      <w:r>
        <w:rPr>
          <w:rFonts w:hint="eastAsia" w:ascii="仿宋" w:hAnsi="仿宋" w:eastAsia="仿宋"/>
          <w:b/>
          <w:sz w:val="24"/>
        </w:rPr>
        <w:t>．</w:t>
      </w:r>
      <w:r>
        <w:rPr>
          <w:rFonts w:ascii="仿宋" w:hAnsi="仿宋" w:eastAsia="仿宋" w:cs="宋体"/>
          <w:b/>
          <w:snapToGrid w:val="0"/>
          <w:kern w:val="0"/>
          <w:sz w:val="24"/>
        </w:rPr>
        <w:t>思想</w:t>
      </w:r>
      <w:r>
        <w:rPr>
          <w:rFonts w:hint="eastAsia" w:ascii="仿宋" w:hAnsi="仿宋" w:eastAsia="仿宋" w:cs="宋体"/>
          <w:b/>
          <w:snapToGrid w:val="0"/>
          <w:kern w:val="0"/>
          <w:sz w:val="24"/>
        </w:rPr>
        <w:t>道德</w:t>
      </w:r>
    </w:p>
    <w:p w14:paraId="43618766">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总分为6分，基本分为5.5分，在基本分的基础上进行加分或减分，加分上限为0.5分。</w:t>
      </w:r>
    </w:p>
    <w:p w14:paraId="1B579788">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（1）加分</w:t>
      </w:r>
    </w:p>
    <w:p w14:paraId="1760B288">
      <w:pPr>
        <w:pStyle w:val="9"/>
        <w:numPr>
          <w:ilvl w:val="0"/>
          <w:numId w:val="1"/>
        </w:numPr>
        <w:spacing w:line="360" w:lineRule="auto"/>
        <w:ind w:firstLine="480" w:firstLineChars="200"/>
        <w:rPr>
          <w:rFonts w:ascii="仿宋" w:hAnsi="仿宋" w:eastAsia="仿宋"/>
          <w:snapToGrid w:val="0"/>
          <w:sz w:val="24"/>
          <w:szCs w:val="24"/>
          <w:lang w:eastAsia="zh-CN"/>
        </w:rPr>
      </w:pPr>
      <w:r>
        <w:rPr>
          <w:rFonts w:hint="eastAsia" w:ascii="仿宋" w:hAnsi="仿宋" w:eastAsia="仿宋"/>
          <w:snapToGrid w:val="0"/>
          <w:sz w:val="24"/>
          <w:szCs w:val="24"/>
          <w:lang w:eastAsia="zh-CN"/>
        </w:rPr>
        <w:t>所在班级、团支部荣获校级以上荣誉称号的，其主要贡献者加0.5分；先进集体成员加0.3分，同一集体同类称号重复获奖，按最高级别计分。</w:t>
      </w:r>
    </w:p>
    <w:p w14:paraId="2121BEC6">
      <w:pPr>
        <w:pStyle w:val="9"/>
        <w:numPr>
          <w:ilvl w:val="0"/>
          <w:numId w:val="1"/>
        </w:numPr>
        <w:spacing w:line="360" w:lineRule="auto"/>
        <w:ind w:firstLine="480" w:firstLineChars="200"/>
        <w:rPr>
          <w:rFonts w:ascii="仿宋" w:hAnsi="仿宋" w:eastAsia="仿宋"/>
          <w:snapToGrid w:val="0"/>
          <w:sz w:val="24"/>
          <w:szCs w:val="24"/>
          <w:lang w:eastAsia="zh-CN"/>
        </w:rPr>
      </w:pPr>
      <w:r>
        <w:rPr>
          <w:rFonts w:hint="eastAsia" w:ascii="仿宋" w:hAnsi="仿宋" w:eastAsia="仿宋"/>
          <w:snapToGrid w:val="0"/>
          <w:sz w:val="24"/>
          <w:szCs w:val="24"/>
          <w:lang w:eastAsia="zh-CN"/>
        </w:rPr>
        <w:t>在道德素养方面有突出表现者，诸如关心集体，助人为乐等反映大学生高尚品质的行为，受学校、院（系）通报表扬者，酌情加0.3分。</w:t>
      </w:r>
    </w:p>
    <w:p w14:paraId="469FE8B9">
      <w:pPr>
        <w:pStyle w:val="9"/>
        <w:numPr>
          <w:ilvl w:val="0"/>
          <w:numId w:val="1"/>
        </w:numPr>
        <w:spacing w:line="360" w:lineRule="auto"/>
        <w:ind w:firstLine="480" w:firstLineChars="200"/>
        <w:rPr>
          <w:rFonts w:ascii="仿宋" w:hAnsi="仿宋" w:eastAsia="仿宋"/>
          <w:snapToGrid w:val="0"/>
          <w:sz w:val="24"/>
          <w:szCs w:val="24"/>
          <w:lang w:eastAsia="zh-CN"/>
        </w:rPr>
      </w:pPr>
      <w:r>
        <w:rPr>
          <w:rFonts w:hint="eastAsia" w:ascii="仿宋" w:hAnsi="仿宋" w:eastAsia="仿宋"/>
          <w:snapToGrid w:val="0"/>
          <w:sz w:val="24"/>
          <w:szCs w:val="24"/>
          <w:lang w:eastAsia="zh-CN"/>
        </w:rPr>
        <w:t>荣获校“文明寝室”的寝室，其成员加</w:t>
      </w:r>
      <w:r>
        <w:rPr>
          <w:rFonts w:ascii="仿宋" w:hAnsi="仿宋" w:eastAsia="仿宋"/>
          <w:snapToGrid w:val="0"/>
          <w:sz w:val="24"/>
          <w:szCs w:val="24"/>
          <w:lang w:eastAsia="zh-CN"/>
        </w:rPr>
        <w:t>0.</w:t>
      </w:r>
      <w:r>
        <w:rPr>
          <w:rFonts w:hint="eastAsia" w:ascii="仿宋" w:hAnsi="仿宋" w:eastAsia="仿宋"/>
          <w:snapToGrid w:val="0"/>
          <w:sz w:val="24"/>
          <w:szCs w:val="24"/>
          <w:lang w:eastAsia="zh-CN"/>
        </w:rPr>
        <w:t>3分。</w:t>
      </w:r>
    </w:p>
    <w:p w14:paraId="3F9F6465">
      <w:pPr>
        <w:pStyle w:val="9"/>
        <w:numPr>
          <w:ilvl w:val="0"/>
          <w:numId w:val="1"/>
        </w:numPr>
        <w:spacing w:line="360" w:lineRule="auto"/>
        <w:ind w:firstLine="480" w:firstLineChars="200"/>
        <w:rPr>
          <w:rFonts w:ascii="仿宋" w:hAnsi="仿宋" w:eastAsia="仿宋"/>
          <w:snapToGrid w:val="0"/>
          <w:sz w:val="24"/>
          <w:szCs w:val="24"/>
          <w:lang w:eastAsia="zh-CN"/>
        </w:rPr>
      </w:pPr>
      <w:r>
        <w:rPr>
          <w:rFonts w:hint="eastAsia" w:ascii="仿宋" w:hAnsi="仿宋" w:eastAsia="仿宋"/>
          <w:snapToGrid w:val="0"/>
          <w:sz w:val="24"/>
          <w:szCs w:val="24"/>
          <w:lang w:eastAsia="zh-CN"/>
        </w:rPr>
        <w:t>在教室美化评比中获校、院、系奖项的班级，其成员加</w:t>
      </w:r>
      <w:r>
        <w:rPr>
          <w:rFonts w:ascii="仿宋" w:hAnsi="仿宋" w:eastAsia="仿宋"/>
          <w:snapToGrid w:val="0"/>
          <w:sz w:val="24"/>
          <w:szCs w:val="24"/>
          <w:lang w:eastAsia="zh-CN"/>
        </w:rPr>
        <w:t>0.3</w:t>
      </w:r>
      <w:r>
        <w:rPr>
          <w:rFonts w:hint="eastAsia" w:ascii="仿宋" w:hAnsi="仿宋" w:eastAsia="仿宋"/>
          <w:snapToGrid w:val="0"/>
          <w:sz w:val="24"/>
          <w:szCs w:val="24"/>
          <w:lang w:eastAsia="zh-CN"/>
        </w:rPr>
        <w:t>分。</w:t>
      </w:r>
    </w:p>
    <w:p w14:paraId="788B089F">
      <w:pPr>
        <w:pStyle w:val="9"/>
        <w:numPr>
          <w:ilvl w:val="0"/>
          <w:numId w:val="1"/>
        </w:numPr>
        <w:spacing w:line="360" w:lineRule="auto"/>
        <w:ind w:firstLine="480" w:firstLineChars="200"/>
        <w:rPr>
          <w:rFonts w:ascii="仿宋" w:hAnsi="仿宋" w:eastAsia="仿宋"/>
          <w:snapToGrid w:val="0"/>
          <w:sz w:val="24"/>
          <w:szCs w:val="24"/>
          <w:lang w:eastAsia="zh-CN"/>
        </w:rPr>
      </w:pPr>
      <w:r>
        <w:rPr>
          <w:rFonts w:hint="eastAsia" w:ascii="仿宋" w:hAnsi="仿宋" w:eastAsia="仿宋"/>
          <w:snapToGrid w:val="0"/>
          <w:sz w:val="24"/>
          <w:szCs w:val="24"/>
          <w:lang w:eastAsia="zh-CN"/>
        </w:rPr>
        <w:t>在校园美化劳动或公共卫生劳动中有突出贡献者，酌情加</w:t>
      </w:r>
      <w:r>
        <w:rPr>
          <w:rFonts w:ascii="仿宋" w:hAnsi="仿宋" w:eastAsia="仿宋"/>
          <w:snapToGrid w:val="0"/>
          <w:sz w:val="24"/>
          <w:szCs w:val="24"/>
          <w:lang w:eastAsia="zh-CN"/>
        </w:rPr>
        <w:t>0.5</w:t>
      </w:r>
      <w:r>
        <w:rPr>
          <w:rFonts w:hint="eastAsia" w:ascii="仿宋" w:hAnsi="仿宋" w:eastAsia="仿宋"/>
          <w:snapToGrid w:val="0"/>
          <w:sz w:val="24"/>
          <w:szCs w:val="24"/>
          <w:lang w:eastAsia="zh-CN"/>
        </w:rPr>
        <w:t>分。</w:t>
      </w:r>
    </w:p>
    <w:p w14:paraId="43CAD0D9">
      <w:pPr>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（2）减分</w:t>
      </w:r>
    </w:p>
    <w:p w14:paraId="18CD8CE9">
      <w:pPr>
        <w:pStyle w:val="9"/>
        <w:widowControl w:val="0"/>
        <w:numPr>
          <w:ilvl w:val="0"/>
          <w:numId w:val="2"/>
        </w:numPr>
        <w:spacing w:after="0" w:line="360" w:lineRule="auto"/>
        <w:ind w:left="62" w:firstLine="645" w:firstLineChars="269"/>
        <w:contextualSpacing w:val="0"/>
        <w:jc w:val="both"/>
        <w:rPr>
          <w:rFonts w:ascii="仿宋" w:hAnsi="仿宋" w:eastAsia="仿宋"/>
          <w:snapToGrid w:val="0"/>
          <w:sz w:val="24"/>
          <w:lang w:eastAsia="zh-CN"/>
        </w:rPr>
      </w:pPr>
      <w:r>
        <w:rPr>
          <w:rFonts w:hint="eastAsia" w:ascii="仿宋" w:hAnsi="仿宋" w:eastAsia="仿宋"/>
          <w:snapToGrid w:val="0"/>
          <w:sz w:val="24"/>
          <w:lang w:eastAsia="zh-CN"/>
        </w:rPr>
        <w:t>在公共场所、网络等公共空间做出有违社会公德言行、造成恶劣影响的，一经查实酌情减0.5-1分；</w:t>
      </w:r>
    </w:p>
    <w:p w14:paraId="06C899A3">
      <w:pPr>
        <w:pStyle w:val="9"/>
        <w:widowControl w:val="0"/>
        <w:numPr>
          <w:ilvl w:val="0"/>
          <w:numId w:val="2"/>
        </w:numPr>
        <w:spacing w:after="0" w:line="360" w:lineRule="auto"/>
        <w:ind w:left="62" w:firstLine="645" w:firstLineChars="269"/>
        <w:contextualSpacing w:val="0"/>
        <w:jc w:val="both"/>
        <w:rPr>
          <w:rFonts w:ascii="仿宋" w:hAnsi="仿宋" w:eastAsia="仿宋"/>
          <w:snapToGrid w:val="0"/>
          <w:sz w:val="24"/>
          <w:lang w:eastAsia="zh-CN"/>
        </w:rPr>
      </w:pPr>
      <w:r>
        <w:rPr>
          <w:rFonts w:hint="eastAsia" w:ascii="仿宋" w:hAnsi="仿宋" w:eastAsia="仿宋"/>
          <w:snapToGrid w:val="0"/>
          <w:sz w:val="24"/>
          <w:lang w:eastAsia="zh-CN"/>
        </w:rPr>
        <w:t>在家庭经济困难认定、奖助学金申请、交流选拔报名等过程中弄虚作假、有不诚信行为的，一经查实减1分；</w:t>
      </w:r>
    </w:p>
    <w:p w14:paraId="26DBA567">
      <w:pPr>
        <w:pStyle w:val="9"/>
        <w:widowControl w:val="0"/>
        <w:numPr>
          <w:ilvl w:val="0"/>
          <w:numId w:val="2"/>
        </w:numPr>
        <w:spacing w:after="0" w:line="360" w:lineRule="auto"/>
        <w:ind w:left="62" w:firstLine="645" w:firstLineChars="269"/>
        <w:contextualSpacing w:val="0"/>
        <w:jc w:val="both"/>
        <w:rPr>
          <w:rFonts w:ascii="仿宋" w:hAnsi="仿宋" w:eastAsia="仿宋"/>
          <w:snapToGrid w:val="0"/>
          <w:sz w:val="24"/>
          <w:lang w:eastAsia="zh-CN"/>
        </w:rPr>
      </w:pPr>
      <w:r>
        <w:rPr>
          <w:rFonts w:hint="eastAsia" w:ascii="仿宋" w:hAnsi="仿宋" w:eastAsia="仿宋"/>
          <w:snapToGrid w:val="0"/>
          <w:sz w:val="24"/>
          <w:lang w:eastAsia="zh-CN"/>
        </w:rPr>
        <w:t>在“青年大学习”等集体学习活动中消极对待，未达到学习要求，视情况酌情减分；</w:t>
      </w:r>
    </w:p>
    <w:p w14:paraId="587DA42C">
      <w:pPr>
        <w:pStyle w:val="9"/>
        <w:widowControl w:val="0"/>
        <w:numPr>
          <w:ilvl w:val="0"/>
          <w:numId w:val="2"/>
        </w:numPr>
        <w:spacing w:after="0" w:line="360" w:lineRule="auto"/>
        <w:ind w:left="62" w:firstLine="645" w:firstLineChars="269"/>
        <w:contextualSpacing w:val="0"/>
        <w:jc w:val="both"/>
        <w:rPr>
          <w:rFonts w:ascii="仿宋" w:hAnsi="仿宋" w:eastAsia="仿宋"/>
          <w:i w:val="0"/>
          <w:iCs w:val="0"/>
          <w:snapToGrid w:val="0"/>
          <w:sz w:val="24"/>
          <w:lang w:eastAsia="zh-CN"/>
        </w:rPr>
      </w:pPr>
      <w:r>
        <w:rPr>
          <w:rFonts w:hint="eastAsia" w:ascii="仿宋" w:hAnsi="仿宋" w:eastAsia="仿宋"/>
          <w:i w:val="0"/>
          <w:iCs w:val="0"/>
          <w:snapToGrid w:val="0"/>
          <w:sz w:val="24"/>
          <w:lang w:eastAsia="zh-CN"/>
        </w:rPr>
        <w:t>在健康跑中存在作弊行为，例如骑电动车、骑自行车摇手机、代跑和代签等一切作弊行为，次数&lt;3次的一经査实减0.5分，3</w:t>
      </w:r>
      <w:r>
        <w:rPr>
          <w:rFonts w:hint="eastAsia" w:ascii="仿宋" w:hAnsi="仿宋" w:eastAsia="仿宋"/>
          <w:i w:val="0"/>
          <w:iCs w:val="0"/>
          <w:snapToGrid w:val="0"/>
          <w:sz w:val="24"/>
          <w:lang w:val="en-US" w:eastAsia="zh-CN"/>
        </w:rPr>
        <w:t>次</w:t>
      </w:r>
      <w:r>
        <w:rPr>
          <w:rFonts w:hint="eastAsia" w:ascii="仿宋" w:hAnsi="仿宋" w:eastAsia="仿宋"/>
          <w:i w:val="0"/>
          <w:iCs w:val="0"/>
          <w:snapToGrid w:val="0"/>
          <w:sz w:val="24"/>
          <w:lang w:eastAsia="zh-CN"/>
        </w:rPr>
        <w:t>&lt;次数&lt;5次的一经查实减1分，次数&gt;5次一经查实取消评选资格;在体测中存在</w:t>
      </w:r>
      <w:r>
        <w:rPr>
          <w:rFonts w:hint="eastAsia" w:ascii="仿宋" w:hAnsi="仿宋" w:eastAsia="仿宋"/>
          <w:i w:val="0"/>
          <w:iCs w:val="0"/>
          <w:snapToGrid w:val="0"/>
          <w:sz w:val="24"/>
          <w:lang w:val="en-US" w:eastAsia="zh-CN"/>
        </w:rPr>
        <w:t>作弊</w:t>
      </w:r>
      <w:r>
        <w:rPr>
          <w:rFonts w:hint="eastAsia" w:ascii="仿宋" w:hAnsi="仿宋" w:eastAsia="仿宋"/>
          <w:i w:val="0"/>
          <w:iCs w:val="0"/>
          <w:snapToGrid w:val="0"/>
          <w:sz w:val="24"/>
          <w:lang w:eastAsia="zh-CN"/>
        </w:rPr>
        <w:t>行为的，经查实取消评选资格。</w:t>
      </w:r>
    </w:p>
    <w:p w14:paraId="5DE95F96">
      <w:pPr>
        <w:pStyle w:val="9"/>
        <w:widowControl w:val="0"/>
        <w:numPr>
          <w:ilvl w:val="0"/>
          <w:numId w:val="2"/>
        </w:numPr>
        <w:spacing w:after="0" w:line="360" w:lineRule="auto"/>
        <w:ind w:left="62" w:firstLine="645" w:firstLineChars="269"/>
        <w:contextualSpacing w:val="0"/>
        <w:jc w:val="both"/>
        <w:rPr>
          <w:rFonts w:ascii="仿宋" w:hAnsi="仿宋" w:eastAsia="仿宋"/>
          <w:snapToGrid w:val="0"/>
          <w:sz w:val="24"/>
          <w:lang w:eastAsia="zh-CN"/>
        </w:rPr>
      </w:pPr>
      <w:r>
        <w:rPr>
          <w:rFonts w:hint="eastAsia" w:ascii="仿宋" w:hAnsi="仿宋" w:eastAsia="仿宋"/>
          <w:snapToGrid w:val="0"/>
          <w:sz w:val="24"/>
          <w:lang w:eastAsia="zh-CN"/>
        </w:rPr>
        <w:t>其他不符合大学生文明规范的行为，酌情减分。</w:t>
      </w:r>
    </w:p>
    <w:p w14:paraId="0ACD972E">
      <w:pPr>
        <w:spacing w:line="360" w:lineRule="auto"/>
        <w:ind w:firstLine="482" w:firstLineChars="200"/>
        <w:rPr>
          <w:rFonts w:ascii="仿宋" w:hAnsi="仿宋" w:eastAsia="仿宋" w:cs="宋体"/>
          <w:b/>
          <w:snapToGrid w:val="0"/>
          <w:kern w:val="0"/>
          <w:sz w:val="24"/>
        </w:rPr>
      </w:pPr>
      <w:r>
        <w:rPr>
          <w:rFonts w:hint="eastAsia" w:ascii="仿宋" w:hAnsi="仿宋" w:eastAsia="仿宋" w:cs="宋体"/>
          <w:b/>
          <w:snapToGrid w:val="0"/>
          <w:kern w:val="0"/>
          <w:sz w:val="24"/>
        </w:rPr>
        <w:t>B</w:t>
      </w:r>
      <w:r>
        <w:rPr>
          <w:rFonts w:hint="eastAsia" w:ascii="仿宋" w:hAnsi="仿宋" w:eastAsia="仿宋"/>
          <w:b/>
          <w:sz w:val="24"/>
        </w:rPr>
        <w:t>．</w:t>
      </w:r>
      <w:r>
        <w:rPr>
          <w:rFonts w:hint="eastAsia" w:ascii="仿宋" w:hAnsi="仿宋" w:eastAsia="仿宋" w:cs="宋体"/>
          <w:b/>
          <w:snapToGrid w:val="0"/>
          <w:kern w:val="0"/>
          <w:sz w:val="24"/>
        </w:rPr>
        <w:t>集体观念</w:t>
      </w:r>
    </w:p>
    <w:p w14:paraId="209C32D6">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总分为5分，基本分为4.5分，在基本分的基础上进行加分或减分，加分上限为0.5分。</w:t>
      </w:r>
    </w:p>
    <w:p w14:paraId="1434E147">
      <w:pPr>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w:t>
      </w:r>
      <w:r>
        <w:rPr>
          <w:rFonts w:ascii="仿宋" w:hAnsi="仿宋" w:eastAsia="仿宋"/>
          <w:snapToGrid w:val="0"/>
          <w:kern w:val="0"/>
          <w:sz w:val="24"/>
        </w:rPr>
        <w:t>1</w:t>
      </w:r>
      <w:r>
        <w:rPr>
          <w:rFonts w:hint="eastAsia" w:ascii="仿宋" w:hAnsi="仿宋" w:eastAsia="仿宋"/>
          <w:snapToGrid w:val="0"/>
          <w:kern w:val="0"/>
          <w:sz w:val="24"/>
        </w:rPr>
        <w:t>）加分</w:t>
      </w:r>
    </w:p>
    <w:p w14:paraId="051012DB">
      <w:pPr>
        <w:pStyle w:val="9"/>
        <w:numPr>
          <w:ilvl w:val="0"/>
          <w:numId w:val="3"/>
        </w:numPr>
        <w:spacing w:line="360" w:lineRule="auto"/>
        <w:ind w:firstLine="425"/>
        <w:rPr>
          <w:rFonts w:ascii="仿宋" w:hAnsi="仿宋" w:eastAsia="仿宋"/>
          <w:snapToGrid w:val="0"/>
          <w:sz w:val="24"/>
          <w:lang w:eastAsia="zh-CN"/>
        </w:rPr>
      </w:pPr>
      <w:r>
        <w:rPr>
          <w:rFonts w:hint="eastAsia" w:ascii="仿宋" w:hAnsi="仿宋" w:eastAsia="仿宋"/>
          <w:snapToGrid w:val="0"/>
          <w:sz w:val="24"/>
          <w:lang w:eastAsia="zh-CN"/>
        </w:rPr>
        <w:t>热心参与各类集体活动者，为集体活动做出较大贡献者，为集体获得各类竞赛荣誉做出较大努力者，校级及以上比赛一等奖加0.5分，二等奖加0.3分，三等奖加0.1分，其余不加分。</w:t>
      </w:r>
    </w:p>
    <w:p w14:paraId="131C8908">
      <w:pPr>
        <w:pStyle w:val="9"/>
        <w:numPr>
          <w:ilvl w:val="0"/>
          <w:numId w:val="3"/>
        </w:numPr>
        <w:spacing w:line="360" w:lineRule="auto"/>
        <w:ind w:firstLine="425"/>
        <w:rPr>
          <w:rFonts w:ascii="仿宋" w:hAnsi="仿宋" w:eastAsia="仿宋"/>
          <w:snapToGrid w:val="0"/>
          <w:sz w:val="24"/>
          <w:lang w:eastAsia="zh-CN"/>
        </w:rPr>
      </w:pPr>
      <w:r>
        <w:rPr>
          <w:rFonts w:hint="eastAsia" w:ascii="仿宋" w:hAnsi="仿宋" w:eastAsia="仿宋"/>
          <w:snapToGrid w:val="0"/>
          <w:sz w:val="24"/>
          <w:lang w:eastAsia="zh-CN"/>
        </w:rPr>
        <w:t>认真参加校运动会学院方阵训练及展示，加0.1 分。</w:t>
      </w:r>
    </w:p>
    <w:p w14:paraId="5ABEB51A">
      <w:pPr>
        <w:pStyle w:val="9"/>
        <w:numPr>
          <w:ilvl w:val="0"/>
          <w:numId w:val="3"/>
        </w:numPr>
        <w:spacing w:line="360" w:lineRule="auto"/>
        <w:ind w:firstLine="425"/>
        <w:rPr>
          <w:rFonts w:ascii="仿宋" w:hAnsi="仿宋" w:eastAsia="仿宋"/>
          <w:snapToGrid w:val="0"/>
          <w:sz w:val="24"/>
          <w:lang w:eastAsia="zh-CN"/>
        </w:rPr>
      </w:pPr>
      <w:r>
        <w:rPr>
          <w:rFonts w:hint="eastAsia" w:ascii="仿宋" w:hAnsi="仿宋" w:eastAsia="仿宋"/>
          <w:snapToGrid w:val="0"/>
          <w:sz w:val="24"/>
          <w:lang w:eastAsia="zh-CN"/>
        </w:rPr>
        <w:t>参加球队训练上限为0.5 分，具体分数根据队员训练情况予以加分。</w:t>
      </w:r>
    </w:p>
    <w:p w14:paraId="777614C2">
      <w:pPr>
        <w:pStyle w:val="9"/>
        <w:numPr>
          <w:ilvl w:val="0"/>
          <w:numId w:val="3"/>
        </w:numPr>
        <w:spacing w:line="360" w:lineRule="auto"/>
        <w:ind w:firstLine="425"/>
        <w:rPr>
          <w:rFonts w:ascii="仿宋" w:hAnsi="仿宋" w:eastAsia="仿宋"/>
          <w:snapToGrid w:val="0"/>
          <w:sz w:val="24"/>
          <w:lang w:eastAsia="zh-CN"/>
        </w:rPr>
      </w:pPr>
      <w:r>
        <w:rPr>
          <w:rFonts w:hint="eastAsia" w:ascii="仿宋" w:hAnsi="仿宋" w:eastAsia="仿宋"/>
          <w:snapToGrid w:val="0"/>
          <w:sz w:val="24"/>
          <w:lang w:eastAsia="zh-CN"/>
        </w:rPr>
        <w:t>参加辩论队上限0.5 分，具体分数根据队员训练情况和参加比赛情况予以加分。</w:t>
      </w:r>
    </w:p>
    <w:p w14:paraId="177E97B4">
      <w:pPr>
        <w:pStyle w:val="9"/>
        <w:numPr>
          <w:ilvl w:val="0"/>
          <w:numId w:val="3"/>
        </w:numPr>
        <w:spacing w:line="360" w:lineRule="auto"/>
        <w:ind w:firstLine="425"/>
        <w:rPr>
          <w:rFonts w:ascii="仿宋" w:hAnsi="仿宋" w:eastAsia="仿宋"/>
          <w:snapToGrid w:val="0"/>
          <w:sz w:val="24"/>
          <w:lang w:eastAsia="zh-CN"/>
        </w:rPr>
      </w:pPr>
      <w:r>
        <w:rPr>
          <w:rFonts w:hint="eastAsia" w:ascii="仿宋" w:hAnsi="仿宋" w:eastAsia="仿宋"/>
          <w:snapToGrid w:val="0"/>
          <w:sz w:val="24"/>
          <w:lang w:eastAsia="zh-CN"/>
        </w:rPr>
        <w:t>参加由学院统一组织的指定讲座，单次加0.05分，加分上限为0.3 分。</w:t>
      </w:r>
    </w:p>
    <w:p w14:paraId="0BFF1376">
      <w:pPr>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w:t>
      </w:r>
      <w:r>
        <w:rPr>
          <w:rFonts w:ascii="仿宋" w:hAnsi="仿宋" w:eastAsia="仿宋"/>
          <w:snapToGrid w:val="0"/>
          <w:kern w:val="0"/>
          <w:sz w:val="24"/>
        </w:rPr>
        <w:t>2</w:t>
      </w:r>
      <w:r>
        <w:rPr>
          <w:rFonts w:hint="eastAsia" w:ascii="仿宋" w:hAnsi="仿宋" w:eastAsia="仿宋"/>
          <w:snapToGrid w:val="0"/>
          <w:kern w:val="0"/>
          <w:sz w:val="24"/>
        </w:rPr>
        <w:t>）减分</w:t>
      </w:r>
    </w:p>
    <w:p w14:paraId="56270B5C">
      <w:pPr>
        <w:pStyle w:val="9"/>
        <w:numPr>
          <w:ilvl w:val="0"/>
          <w:numId w:val="4"/>
        </w:numPr>
        <w:spacing w:line="360" w:lineRule="auto"/>
        <w:ind w:firstLine="425"/>
        <w:rPr>
          <w:rFonts w:ascii="仿宋" w:hAnsi="仿宋" w:eastAsia="仿宋"/>
          <w:snapToGrid w:val="0"/>
          <w:sz w:val="24"/>
          <w:lang w:eastAsia="zh-CN"/>
        </w:rPr>
      </w:pPr>
      <w:r>
        <w:rPr>
          <w:rFonts w:hint="eastAsia" w:ascii="仿宋" w:hAnsi="仿宋" w:eastAsia="仿宋"/>
          <w:snapToGrid w:val="0"/>
          <w:sz w:val="24"/>
          <w:lang w:eastAsia="zh-CN"/>
        </w:rPr>
        <w:t>旷课一学时者，减0.3分，迟到或早退一次者，减</w:t>
      </w:r>
      <w:r>
        <w:rPr>
          <w:rFonts w:ascii="仿宋" w:hAnsi="仿宋" w:eastAsia="仿宋"/>
          <w:snapToGrid w:val="0"/>
          <w:sz w:val="24"/>
          <w:lang w:eastAsia="zh-CN"/>
        </w:rPr>
        <w:t>0.</w:t>
      </w:r>
      <w:r>
        <w:rPr>
          <w:rFonts w:hint="eastAsia" w:ascii="仿宋" w:hAnsi="仿宋" w:eastAsia="仿宋"/>
          <w:snapToGrid w:val="0"/>
          <w:sz w:val="24"/>
          <w:lang w:eastAsia="zh-CN"/>
        </w:rPr>
        <w:t>1分（迟到或早退三次以旷课一学时计）。</w:t>
      </w:r>
    </w:p>
    <w:p w14:paraId="6956E5A8">
      <w:pPr>
        <w:pStyle w:val="9"/>
        <w:numPr>
          <w:ilvl w:val="0"/>
          <w:numId w:val="4"/>
        </w:numPr>
        <w:spacing w:line="360" w:lineRule="auto"/>
        <w:ind w:firstLine="425"/>
        <w:rPr>
          <w:rFonts w:ascii="仿宋" w:hAnsi="仿宋" w:eastAsia="仿宋"/>
          <w:snapToGrid w:val="0"/>
          <w:sz w:val="24"/>
          <w:lang w:eastAsia="zh-CN"/>
        </w:rPr>
      </w:pPr>
      <w:r>
        <w:rPr>
          <w:rFonts w:hint="eastAsia" w:ascii="仿宋" w:hAnsi="仿宋" w:eastAsia="仿宋"/>
          <w:snapToGrid w:val="0"/>
          <w:sz w:val="24"/>
          <w:szCs w:val="24"/>
          <w:lang w:eastAsia="zh-CN"/>
        </w:rPr>
        <w:t>无故不参加学校有关组织指定的集体活动、年级大会、班会等者，每次减</w:t>
      </w:r>
      <w:r>
        <w:rPr>
          <w:rFonts w:ascii="仿宋" w:hAnsi="仿宋" w:eastAsia="仿宋"/>
          <w:snapToGrid w:val="0"/>
          <w:sz w:val="24"/>
          <w:szCs w:val="24"/>
          <w:lang w:eastAsia="zh-CN"/>
        </w:rPr>
        <w:t>0.1</w:t>
      </w:r>
      <w:r>
        <w:rPr>
          <w:rFonts w:hint="eastAsia" w:ascii="仿宋" w:hAnsi="仿宋" w:eastAsia="仿宋"/>
          <w:snapToGrid w:val="0"/>
          <w:sz w:val="24"/>
          <w:szCs w:val="24"/>
          <w:lang w:eastAsia="zh-CN"/>
        </w:rPr>
        <w:t>分。</w:t>
      </w:r>
    </w:p>
    <w:p w14:paraId="79789549">
      <w:pPr>
        <w:spacing w:line="360" w:lineRule="auto"/>
        <w:ind w:firstLine="482" w:firstLineChars="200"/>
        <w:rPr>
          <w:rFonts w:ascii="仿宋" w:hAnsi="仿宋" w:eastAsia="仿宋" w:cs="宋体"/>
          <w:b/>
          <w:snapToGrid w:val="0"/>
          <w:kern w:val="0"/>
          <w:sz w:val="24"/>
        </w:rPr>
      </w:pPr>
      <w:r>
        <w:rPr>
          <w:rFonts w:hint="eastAsia" w:ascii="仿宋" w:hAnsi="仿宋" w:eastAsia="仿宋" w:cs="宋体"/>
          <w:b/>
          <w:snapToGrid w:val="0"/>
          <w:kern w:val="0"/>
          <w:sz w:val="24"/>
        </w:rPr>
        <w:t>C</w:t>
      </w:r>
      <w:r>
        <w:rPr>
          <w:rFonts w:hint="eastAsia" w:ascii="仿宋" w:hAnsi="仿宋" w:eastAsia="仿宋"/>
          <w:b/>
          <w:sz w:val="24"/>
        </w:rPr>
        <w:t>．</w:t>
      </w:r>
      <w:r>
        <w:rPr>
          <w:rFonts w:ascii="仿宋" w:hAnsi="仿宋" w:eastAsia="仿宋" w:cs="宋体"/>
          <w:b/>
          <w:snapToGrid w:val="0"/>
          <w:kern w:val="0"/>
          <w:sz w:val="24"/>
        </w:rPr>
        <w:t>社会实践</w:t>
      </w:r>
    </w:p>
    <w:p w14:paraId="65062BB0">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总分为5分，基本分为3分，在基本分的基础上进行加分，加分上限为2分。</w:t>
      </w:r>
    </w:p>
    <w:p w14:paraId="24EACF2A">
      <w:pPr>
        <w:pStyle w:val="9"/>
        <w:numPr>
          <w:ilvl w:val="0"/>
          <w:numId w:val="5"/>
        </w:numPr>
        <w:spacing w:line="360" w:lineRule="auto"/>
        <w:ind w:firstLine="425"/>
        <w:rPr>
          <w:rFonts w:ascii="仿宋" w:hAnsi="仿宋" w:eastAsia="仿宋"/>
          <w:snapToGrid w:val="0"/>
          <w:sz w:val="24"/>
          <w:szCs w:val="24"/>
          <w:lang w:eastAsia="zh-CN"/>
        </w:rPr>
      </w:pPr>
      <w:r>
        <w:rPr>
          <w:rFonts w:hint="eastAsia" w:ascii="仿宋" w:hAnsi="仿宋" w:eastAsia="仿宋"/>
          <w:snapToGrid w:val="0"/>
          <w:sz w:val="24"/>
          <w:szCs w:val="24"/>
          <w:lang w:eastAsia="zh-CN"/>
        </w:rPr>
        <w:t>认真参加学院发布或认可的本学院、校学生工作部（处）或校团</w:t>
      </w:r>
      <w:bookmarkStart w:id="0" w:name="_GoBack"/>
      <w:bookmarkEnd w:id="0"/>
      <w:r>
        <w:rPr>
          <w:rFonts w:hint="eastAsia" w:ascii="仿宋" w:hAnsi="仿宋" w:eastAsia="仿宋"/>
          <w:snapToGrid w:val="0"/>
          <w:sz w:val="24"/>
          <w:szCs w:val="24"/>
          <w:lang w:eastAsia="zh-CN"/>
        </w:rPr>
        <w:t>委组织的各类公益活动，按时长标准加分，满4小时加0.05分，上限为0.4分。</w:t>
      </w:r>
    </w:p>
    <w:p w14:paraId="5558004A">
      <w:pPr>
        <w:pStyle w:val="9"/>
        <w:numPr>
          <w:ilvl w:val="0"/>
          <w:numId w:val="5"/>
        </w:numPr>
        <w:spacing w:line="360" w:lineRule="auto"/>
        <w:ind w:firstLine="425"/>
        <w:rPr>
          <w:rFonts w:ascii="仿宋" w:hAnsi="仿宋" w:eastAsia="仿宋"/>
          <w:snapToGrid w:val="0"/>
          <w:sz w:val="24"/>
          <w:szCs w:val="24"/>
          <w:lang w:eastAsia="zh-CN"/>
        </w:rPr>
      </w:pPr>
      <w:r>
        <w:rPr>
          <w:rFonts w:hint="eastAsia" w:ascii="仿宋" w:hAnsi="仿宋" w:eastAsia="仿宋"/>
          <w:snapToGrid w:val="0"/>
          <w:sz w:val="24"/>
          <w:szCs w:val="24"/>
          <w:lang w:val="en-US" w:eastAsia="zh-CN"/>
        </w:rPr>
        <w:t>报名并成功参加爱心献血每次加0.4分。</w:t>
      </w:r>
    </w:p>
    <w:p w14:paraId="701B017E">
      <w:pPr>
        <w:pStyle w:val="9"/>
        <w:numPr>
          <w:ilvl w:val="0"/>
          <w:numId w:val="5"/>
        </w:numPr>
        <w:spacing w:line="360" w:lineRule="auto"/>
        <w:ind w:firstLine="425"/>
        <w:rPr>
          <w:rFonts w:hint="eastAsia" w:ascii="仿宋" w:hAnsi="仿宋" w:eastAsia="仿宋"/>
          <w:snapToGrid w:val="0"/>
          <w:sz w:val="24"/>
          <w:szCs w:val="24"/>
          <w:lang w:eastAsia="zh-CN"/>
        </w:rPr>
      </w:pPr>
      <w:r>
        <w:rPr>
          <w:rFonts w:hint="eastAsia" w:ascii="仿宋" w:hAnsi="仿宋" w:eastAsia="仿宋"/>
          <w:snapToGrid w:val="0"/>
          <w:sz w:val="24"/>
          <w:szCs w:val="24"/>
          <w:lang w:eastAsia="zh-CN"/>
        </w:rPr>
        <w:t>在校内担任学生干部的，</w:t>
      </w:r>
      <w:r>
        <w:rPr>
          <w:rFonts w:hint="eastAsia" w:ascii="仿宋" w:hAnsi="仿宋" w:eastAsia="仿宋" w:cs="宋体"/>
          <w:snapToGrid w:val="0"/>
          <w:sz w:val="24"/>
          <w:szCs w:val="24"/>
          <w:lang w:eastAsia="zh-CN" w:bidi="ar-SA"/>
        </w:rPr>
        <w:t>按照工作职责分为四级，各级加分存在级差，依据所在部门的德育加分公示材料，</w:t>
      </w:r>
      <w:r>
        <w:rPr>
          <w:rFonts w:hint="eastAsia" w:ascii="仿宋" w:hAnsi="仿宋" w:eastAsia="仿宋"/>
          <w:snapToGrid w:val="0"/>
          <w:sz w:val="24"/>
          <w:szCs w:val="24"/>
          <w:lang w:eastAsia="zh-CN"/>
        </w:rPr>
        <w:t>经奖学金评定小组换算或认定后予以加分，具体评分标准详见下表，加分上限为1.6分。</w:t>
      </w:r>
    </w:p>
    <w:tbl>
      <w:tblPr>
        <w:tblStyle w:val="5"/>
        <w:tblW w:w="7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3777"/>
        <w:gridCol w:w="2268"/>
      </w:tblGrid>
      <w:tr w14:paraId="06ED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32" w:type="dxa"/>
            <w:vAlign w:val="center"/>
          </w:tcPr>
          <w:p w14:paraId="07A5105F">
            <w:pPr>
              <w:spacing w:line="220" w:lineRule="exact"/>
              <w:jc w:val="center"/>
              <w:rPr>
                <w:szCs w:val="21"/>
              </w:rPr>
            </w:pPr>
            <w:r>
              <w:rPr>
                <w:rFonts w:hint="eastAsia"/>
                <w:szCs w:val="21"/>
              </w:rPr>
              <w:t>等级</w:t>
            </w:r>
          </w:p>
        </w:tc>
        <w:tc>
          <w:tcPr>
            <w:tcW w:w="3777" w:type="dxa"/>
            <w:vAlign w:val="center"/>
          </w:tcPr>
          <w:p w14:paraId="40273ACD">
            <w:pPr>
              <w:spacing w:line="220" w:lineRule="exact"/>
              <w:jc w:val="center"/>
              <w:rPr>
                <w:szCs w:val="21"/>
              </w:rPr>
            </w:pPr>
            <w:r>
              <w:rPr>
                <w:rFonts w:hint="eastAsia"/>
                <w:szCs w:val="21"/>
              </w:rPr>
              <w:t>举例</w:t>
            </w:r>
          </w:p>
        </w:tc>
        <w:tc>
          <w:tcPr>
            <w:tcW w:w="2268" w:type="dxa"/>
            <w:vAlign w:val="center"/>
          </w:tcPr>
          <w:p w14:paraId="39D03E64">
            <w:pPr>
              <w:spacing w:line="220" w:lineRule="exact"/>
              <w:jc w:val="center"/>
              <w:rPr>
                <w:szCs w:val="21"/>
              </w:rPr>
            </w:pPr>
            <w:r>
              <w:rPr>
                <w:rFonts w:hint="eastAsia"/>
                <w:szCs w:val="21"/>
              </w:rPr>
              <w:t>分值</w:t>
            </w:r>
          </w:p>
        </w:tc>
      </w:tr>
      <w:tr w14:paraId="3D367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432" w:type="dxa"/>
            <w:vAlign w:val="center"/>
          </w:tcPr>
          <w:p w14:paraId="24C65052">
            <w:pPr>
              <w:spacing w:line="220" w:lineRule="exact"/>
              <w:jc w:val="center"/>
              <w:rPr>
                <w:rFonts w:ascii="宋体" w:hAnsi="宋体" w:cs="宋体"/>
                <w:snapToGrid w:val="0"/>
                <w:kern w:val="0"/>
                <w:szCs w:val="21"/>
              </w:rPr>
            </w:pPr>
            <w:r>
              <w:rPr>
                <w:rFonts w:hint="eastAsia" w:ascii="宋体" w:hAnsi="宋体" w:cs="宋体"/>
                <w:snapToGrid w:val="0"/>
                <w:kern w:val="0"/>
                <w:szCs w:val="21"/>
              </w:rPr>
              <w:t>Ⅰ级</w:t>
            </w:r>
          </w:p>
        </w:tc>
        <w:tc>
          <w:tcPr>
            <w:tcW w:w="3777" w:type="dxa"/>
            <w:vAlign w:val="center"/>
          </w:tcPr>
          <w:p w14:paraId="03960B03">
            <w:pPr>
              <w:spacing w:line="220" w:lineRule="exact"/>
              <w:jc w:val="left"/>
              <w:rPr>
                <w:szCs w:val="21"/>
              </w:rPr>
            </w:pPr>
            <w:r>
              <w:rPr>
                <w:rFonts w:hint="eastAsia" w:ascii="宋体" w:hAnsi="宋体" w:cs="宋体"/>
                <w:snapToGrid w:val="0"/>
                <w:kern w:val="0"/>
                <w:szCs w:val="21"/>
              </w:rPr>
              <w:t>校学联主席团、院系学生会主席团及其他同等职务</w:t>
            </w:r>
          </w:p>
        </w:tc>
        <w:tc>
          <w:tcPr>
            <w:tcW w:w="2268" w:type="dxa"/>
            <w:vAlign w:val="center"/>
          </w:tcPr>
          <w:p w14:paraId="0E635E0E">
            <w:pPr>
              <w:spacing w:line="220" w:lineRule="exact"/>
              <w:jc w:val="left"/>
              <w:rPr>
                <w:szCs w:val="21"/>
              </w:rPr>
            </w:pPr>
            <w:r>
              <w:rPr>
                <w:rFonts w:hint="eastAsia"/>
                <w:snapToGrid w:val="0"/>
                <w:kern w:val="0"/>
                <w:szCs w:val="21"/>
              </w:rPr>
              <w:t>基准分为</w:t>
            </w:r>
            <w:r>
              <w:rPr>
                <w:snapToGrid w:val="0"/>
                <w:kern w:val="0"/>
                <w:szCs w:val="21"/>
              </w:rPr>
              <w:t>1.</w:t>
            </w:r>
            <w:r>
              <w:rPr>
                <w:rFonts w:hint="eastAsia"/>
                <w:snapToGrid w:val="0"/>
                <w:kern w:val="0"/>
                <w:szCs w:val="21"/>
              </w:rPr>
              <w:t>3分，上下浮动</w:t>
            </w:r>
            <w:r>
              <w:rPr>
                <w:snapToGrid w:val="0"/>
                <w:kern w:val="0"/>
                <w:szCs w:val="21"/>
              </w:rPr>
              <w:t>0.</w:t>
            </w:r>
            <w:r>
              <w:rPr>
                <w:rFonts w:hint="eastAsia"/>
                <w:snapToGrid w:val="0"/>
                <w:kern w:val="0"/>
                <w:szCs w:val="21"/>
              </w:rPr>
              <w:t>3分</w:t>
            </w:r>
          </w:p>
        </w:tc>
      </w:tr>
      <w:tr w14:paraId="04AC7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432" w:type="dxa"/>
            <w:vAlign w:val="center"/>
          </w:tcPr>
          <w:p w14:paraId="770D05DD">
            <w:pPr>
              <w:spacing w:line="220" w:lineRule="exact"/>
              <w:jc w:val="center"/>
              <w:rPr>
                <w:rFonts w:ascii="宋体" w:hAnsi="宋体" w:cs="宋体"/>
                <w:snapToGrid w:val="0"/>
                <w:kern w:val="0"/>
                <w:szCs w:val="21"/>
              </w:rPr>
            </w:pPr>
            <w:r>
              <w:rPr>
                <w:rFonts w:hint="eastAsia" w:ascii="宋体" w:hAnsi="宋体" w:cs="宋体"/>
                <w:snapToGrid w:val="0"/>
                <w:kern w:val="0"/>
                <w:szCs w:val="21"/>
              </w:rPr>
              <w:t>Ⅱ级</w:t>
            </w:r>
          </w:p>
        </w:tc>
        <w:tc>
          <w:tcPr>
            <w:tcW w:w="3777" w:type="dxa"/>
            <w:vAlign w:val="center"/>
          </w:tcPr>
          <w:p w14:paraId="5DFC5E03">
            <w:pPr>
              <w:spacing w:line="220" w:lineRule="exact"/>
              <w:jc w:val="left"/>
              <w:rPr>
                <w:szCs w:val="21"/>
              </w:rPr>
            </w:pPr>
            <w:r>
              <w:rPr>
                <w:rFonts w:hint="eastAsia" w:ascii="宋体" w:hAnsi="宋体" w:cs="宋体"/>
                <w:snapToGrid w:val="0"/>
                <w:kern w:val="0"/>
                <w:szCs w:val="21"/>
              </w:rPr>
              <w:t>校学联正副部长</w:t>
            </w:r>
            <w:r>
              <w:rPr>
                <w:rFonts w:hint="eastAsia" w:ascii="宋体" w:hAnsi="宋体" w:cs="宋体"/>
                <w:snapToGrid w:val="0"/>
                <w:kern w:val="0"/>
                <w:szCs w:val="21"/>
                <w:lang w:eastAsia="zh-CN"/>
              </w:rPr>
              <w:t>、</w:t>
            </w:r>
            <w:r>
              <w:rPr>
                <w:rFonts w:hint="eastAsia" w:ascii="宋体" w:hAnsi="宋体" w:cs="宋体"/>
                <w:snapToGrid w:val="0"/>
                <w:kern w:val="0"/>
                <w:szCs w:val="21"/>
              </w:rPr>
              <w:t>院系学生会正副部长、校学联下属社团联及其他组织机构主要负责人、社团主要负责人、各班班长、团支部书记及其他同等职务</w:t>
            </w:r>
          </w:p>
        </w:tc>
        <w:tc>
          <w:tcPr>
            <w:tcW w:w="2268" w:type="dxa"/>
            <w:vAlign w:val="center"/>
          </w:tcPr>
          <w:p w14:paraId="7CE63E45">
            <w:pPr>
              <w:spacing w:line="220" w:lineRule="exact"/>
              <w:jc w:val="left"/>
              <w:rPr>
                <w:szCs w:val="21"/>
              </w:rPr>
            </w:pPr>
            <w:r>
              <w:rPr>
                <w:rFonts w:hint="eastAsia"/>
                <w:snapToGrid w:val="0"/>
                <w:kern w:val="0"/>
                <w:szCs w:val="21"/>
              </w:rPr>
              <w:t>基准分为</w:t>
            </w:r>
            <w:r>
              <w:rPr>
                <w:snapToGrid w:val="0"/>
                <w:kern w:val="0"/>
                <w:szCs w:val="21"/>
              </w:rPr>
              <w:t>1.</w:t>
            </w:r>
            <w:r>
              <w:rPr>
                <w:rFonts w:hint="eastAsia"/>
                <w:snapToGrid w:val="0"/>
                <w:kern w:val="0"/>
                <w:szCs w:val="21"/>
              </w:rPr>
              <w:t>0分，上下浮动</w:t>
            </w:r>
            <w:r>
              <w:rPr>
                <w:snapToGrid w:val="0"/>
                <w:kern w:val="0"/>
                <w:szCs w:val="21"/>
              </w:rPr>
              <w:t>0.</w:t>
            </w:r>
            <w:r>
              <w:rPr>
                <w:rFonts w:hint="eastAsia"/>
                <w:snapToGrid w:val="0"/>
                <w:kern w:val="0"/>
                <w:szCs w:val="21"/>
              </w:rPr>
              <w:t>3分</w:t>
            </w:r>
          </w:p>
        </w:tc>
      </w:tr>
      <w:tr w14:paraId="43A2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32" w:type="dxa"/>
            <w:vAlign w:val="center"/>
          </w:tcPr>
          <w:p w14:paraId="2FFAB1AD">
            <w:pPr>
              <w:spacing w:line="220" w:lineRule="exact"/>
              <w:ind w:firstLine="420" w:firstLineChars="200"/>
              <w:rPr>
                <w:rFonts w:ascii="宋体" w:hAnsi="宋体" w:cs="宋体"/>
                <w:snapToGrid w:val="0"/>
                <w:kern w:val="0"/>
                <w:szCs w:val="21"/>
              </w:rPr>
            </w:pPr>
            <w:r>
              <w:rPr>
                <w:rFonts w:hint="eastAsia" w:ascii="宋体" w:hAnsi="宋体" w:cs="宋体"/>
                <w:snapToGrid w:val="0"/>
                <w:kern w:val="0"/>
                <w:szCs w:val="21"/>
              </w:rPr>
              <w:t>Ⅲ级</w:t>
            </w:r>
          </w:p>
        </w:tc>
        <w:tc>
          <w:tcPr>
            <w:tcW w:w="3777" w:type="dxa"/>
            <w:vAlign w:val="center"/>
          </w:tcPr>
          <w:p w14:paraId="2B1E6830">
            <w:pPr>
              <w:spacing w:line="220" w:lineRule="exact"/>
              <w:jc w:val="left"/>
              <w:rPr>
                <w:szCs w:val="21"/>
              </w:rPr>
            </w:pPr>
            <w:r>
              <w:rPr>
                <w:rFonts w:hint="eastAsia" w:ascii="宋体" w:hAnsi="宋体" w:cs="宋体"/>
                <w:snapToGrid w:val="0"/>
                <w:kern w:val="0"/>
                <w:szCs w:val="21"/>
              </w:rPr>
              <w:t>校内非勤工助学岗位部门助理</w:t>
            </w:r>
          </w:p>
        </w:tc>
        <w:tc>
          <w:tcPr>
            <w:tcW w:w="2268" w:type="dxa"/>
            <w:vAlign w:val="center"/>
          </w:tcPr>
          <w:p w14:paraId="7E665A72">
            <w:pPr>
              <w:spacing w:line="220" w:lineRule="exact"/>
              <w:jc w:val="left"/>
              <w:rPr>
                <w:snapToGrid w:val="0"/>
                <w:kern w:val="0"/>
                <w:szCs w:val="21"/>
              </w:rPr>
            </w:pPr>
            <w:r>
              <w:rPr>
                <w:rFonts w:hint="eastAsia"/>
                <w:snapToGrid w:val="0"/>
                <w:kern w:val="0"/>
                <w:szCs w:val="21"/>
              </w:rPr>
              <w:t>基准分为0.5分，上下浮动0.3分</w:t>
            </w:r>
          </w:p>
        </w:tc>
      </w:tr>
      <w:tr w14:paraId="67EC0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1432" w:type="dxa"/>
            <w:vAlign w:val="center"/>
          </w:tcPr>
          <w:p w14:paraId="558C9B4F">
            <w:pPr>
              <w:spacing w:line="220" w:lineRule="exact"/>
              <w:jc w:val="center"/>
              <w:rPr>
                <w:w w:val="80"/>
                <w:szCs w:val="21"/>
              </w:rPr>
            </w:pPr>
            <w:r>
              <w:rPr>
                <w:rFonts w:hint="eastAsia" w:ascii="宋体" w:hAnsi="宋体" w:cs="宋体"/>
                <w:snapToGrid w:val="0"/>
                <w:kern w:val="0"/>
                <w:szCs w:val="21"/>
              </w:rPr>
              <w:t>Ⅳ级</w:t>
            </w:r>
          </w:p>
        </w:tc>
        <w:tc>
          <w:tcPr>
            <w:tcW w:w="3777" w:type="dxa"/>
            <w:vAlign w:val="center"/>
          </w:tcPr>
          <w:p w14:paraId="012F0220">
            <w:pPr>
              <w:spacing w:line="220" w:lineRule="exact"/>
              <w:jc w:val="left"/>
              <w:rPr>
                <w:szCs w:val="21"/>
              </w:rPr>
            </w:pPr>
            <w:r>
              <w:rPr>
                <w:rFonts w:hint="eastAsia" w:ascii="宋体" w:hAnsi="宋体" w:cs="宋体"/>
                <w:snapToGrid w:val="0"/>
                <w:kern w:val="0"/>
                <w:szCs w:val="21"/>
              </w:rPr>
              <w:t>校学联正副组长、</w:t>
            </w:r>
            <w:r>
              <w:rPr>
                <w:rFonts w:hint="eastAsia"/>
                <w:snapToGrid w:val="0"/>
                <w:kern w:val="0"/>
                <w:szCs w:val="21"/>
              </w:rPr>
              <w:t>干事、院系学生会干事、社团联干事、其他组织机构干事、班委</w:t>
            </w:r>
            <w:r>
              <w:rPr>
                <w:rFonts w:hint="eastAsia" w:ascii="宋体" w:hAnsi="宋体" w:cs="宋体"/>
                <w:snapToGrid w:val="0"/>
                <w:kern w:val="0"/>
                <w:szCs w:val="21"/>
              </w:rPr>
              <w:t>及其他同等职务</w:t>
            </w:r>
          </w:p>
        </w:tc>
        <w:tc>
          <w:tcPr>
            <w:tcW w:w="2268" w:type="dxa"/>
            <w:vAlign w:val="center"/>
          </w:tcPr>
          <w:p w14:paraId="3120E4A3">
            <w:pPr>
              <w:spacing w:line="220" w:lineRule="exact"/>
              <w:jc w:val="left"/>
              <w:rPr>
                <w:szCs w:val="21"/>
              </w:rPr>
            </w:pPr>
            <w:r>
              <w:rPr>
                <w:rFonts w:hint="eastAsia"/>
                <w:snapToGrid w:val="0"/>
                <w:kern w:val="0"/>
                <w:szCs w:val="21"/>
              </w:rPr>
              <w:t>基准分为</w:t>
            </w:r>
            <w:r>
              <w:rPr>
                <w:snapToGrid w:val="0"/>
                <w:kern w:val="0"/>
                <w:szCs w:val="21"/>
              </w:rPr>
              <w:t>0.5</w:t>
            </w:r>
            <w:r>
              <w:rPr>
                <w:rFonts w:hint="eastAsia"/>
                <w:snapToGrid w:val="0"/>
                <w:kern w:val="0"/>
                <w:szCs w:val="21"/>
              </w:rPr>
              <w:t>分，上下浮动</w:t>
            </w:r>
            <w:r>
              <w:rPr>
                <w:snapToGrid w:val="0"/>
                <w:kern w:val="0"/>
                <w:szCs w:val="21"/>
              </w:rPr>
              <w:t>0.3</w:t>
            </w:r>
            <w:r>
              <w:rPr>
                <w:rFonts w:hint="eastAsia"/>
                <w:snapToGrid w:val="0"/>
                <w:kern w:val="0"/>
                <w:szCs w:val="21"/>
              </w:rPr>
              <w:t>分</w:t>
            </w:r>
          </w:p>
        </w:tc>
      </w:tr>
    </w:tbl>
    <w:p w14:paraId="618D1E90">
      <w:pPr>
        <w:pStyle w:val="9"/>
        <w:spacing w:line="360" w:lineRule="auto"/>
        <w:ind w:left="283" w:leftChars="135"/>
        <w:rPr>
          <w:rFonts w:hint="eastAsia"/>
          <w:i w:val="0"/>
          <w:iCs/>
          <w:snapToGrid w:val="0"/>
          <w:sz w:val="21"/>
          <w:szCs w:val="21"/>
          <w:lang w:eastAsia="zh-CN"/>
        </w:rPr>
      </w:pPr>
      <w:r>
        <w:rPr>
          <w:rFonts w:hint="eastAsia"/>
          <w:i w:val="0"/>
          <w:iCs/>
          <w:snapToGrid w:val="0"/>
          <w:sz w:val="21"/>
          <w:szCs w:val="21"/>
          <w:lang w:val="en-US" w:eastAsia="zh-CN"/>
        </w:rPr>
        <w:t>注：</w:t>
      </w:r>
      <w:r>
        <w:rPr>
          <w:rFonts w:hint="eastAsia"/>
          <w:i w:val="0"/>
          <w:iCs/>
          <w:snapToGrid w:val="0"/>
          <w:sz w:val="21"/>
          <w:szCs w:val="21"/>
          <w:lang w:eastAsia="zh-CN"/>
        </w:rPr>
        <w:t>对兼数职的学生干部（</w:t>
      </w:r>
      <w:r>
        <w:rPr>
          <w:rFonts w:hint="eastAsia"/>
          <w:i w:val="0"/>
          <w:iCs/>
          <w:snapToGrid w:val="0"/>
          <w:sz w:val="21"/>
          <w:szCs w:val="21"/>
          <w:lang w:val="en-US" w:eastAsia="zh-CN"/>
        </w:rPr>
        <w:t>含同一类别</w:t>
      </w:r>
      <w:r>
        <w:rPr>
          <w:rFonts w:hint="eastAsia"/>
          <w:i w:val="0"/>
          <w:iCs/>
          <w:snapToGrid w:val="0"/>
          <w:sz w:val="21"/>
          <w:szCs w:val="21"/>
          <w:lang w:eastAsia="zh-CN"/>
        </w:rPr>
        <w:t>），只保留两项加分，加分采用以下计算公式：总加分＝（最高职务加分＋第二职务加分×</w:t>
      </w:r>
      <w:r>
        <w:rPr>
          <w:rFonts w:hint="eastAsia"/>
          <w:i w:val="0"/>
          <w:iCs/>
          <w:snapToGrid w:val="0"/>
          <w:sz w:val="21"/>
          <w:szCs w:val="21"/>
          <w:lang w:val="en-US" w:eastAsia="zh-CN"/>
        </w:rPr>
        <w:t>2</w:t>
      </w:r>
      <w:r>
        <w:rPr>
          <w:i w:val="0"/>
          <w:iCs/>
          <w:snapToGrid w:val="0"/>
          <w:sz w:val="21"/>
          <w:szCs w:val="21"/>
          <w:lang w:eastAsia="zh-CN"/>
        </w:rPr>
        <w:t>0%</w:t>
      </w:r>
      <w:r>
        <w:rPr>
          <w:rFonts w:hint="eastAsia"/>
          <w:i w:val="0"/>
          <w:iCs/>
          <w:snapToGrid w:val="0"/>
          <w:sz w:val="21"/>
          <w:szCs w:val="21"/>
          <w:lang w:eastAsia="zh-CN"/>
        </w:rPr>
        <w:t>）</w:t>
      </w:r>
    </w:p>
    <w:p w14:paraId="72AFD0AF">
      <w:pPr>
        <w:pStyle w:val="9"/>
        <w:numPr>
          <w:ilvl w:val="0"/>
          <w:numId w:val="6"/>
        </w:numPr>
        <w:spacing w:line="360" w:lineRule="auto"/>
        <w:ind w:firstLine="425"/>
        <w:rPr>
          <w:rFonts w:ascii="仿宋" w:hAnsi="仿宋" w:eastAsia="仿宋"/>
          <w:snapToGrid w:val="0"/>
          <w:sz w:val="24"/>
          <w:lang w:eastAsia="zh-CN"/>
        </w:rPr>
      </w:pPr>
      <w:r>
        <w:rPr>
          <w:rFonts w:hint="eastAsia" w:ascii="仿宋" w:hAnsi="仿宋" w:eastAsia="仿宋"/>
          <w:snapToGrid w:val="0"/>
          <w:sz w:val="24"/>
          <w:lang w:eastAsia="zh-CN"/>
        </w:rPr>
        <w:t>获得市级</w:t>
      </w:r>
      <w:r>
        <w:rPr>
          <w:rFonts w:hint="eastAsia" w:ascii="仿宋" w:hAnsi="仿宋" w:eastAsia="仿宋"/>
          <w:snapToGrid w:val="0"/>
          <w:sz w:val="24"/>
          <w:lang w:val="en-US" w:eastAsia="zh-CN"/>
        </w:rPr>
        <w:t>及</w:t>
      </w:r>
      <w:r>
        <w:rPr>
          <w:rFonts w:hint="eastAsia" w:ascii="仿宋" w:hAnsi="仿宋" w:eastAsia="仿宋"/>
          <w:snapToGrid w:val="0"/>
          <w:sz w:val="24"/>
          <w:lang w:eastAsia="zh-CN"/>
        </w:rPr>
        <w:t>以上社会实践个人荣誉者加</w:t>
      </w:r>
      <w:r>
        <w:rPr>
          <w:rFonts w:ascii="仿宋" w:hAnsi="仿宋" w:eastAsia="仿宋"/>
          <w:snapToGrid w:val="0"/>
          <w:sz w:val="24"/>
          <w:lang w:eastAsia="zh-CN"/>
        </w:rPr>
        <w:t>0.5</w:t>
      </w:r>
      <w:r>
        <w:rPr>
          <w:rFonts w:hint="eastAsia" w:ascii="仿宋" w:hAnsi="仿宋" w:eastAsia="仿宋"/>
          <w:snapToGrid w:val="0"/>
          <w:sz w:val="24"/>
          <w:lang w:eastAsia="zh-CN"/>
        </w:rPr>
        <w:t>分，获得校级社会实践个人荣誉者加0.3分；获市级及以上</w:t>
      </w:r>
      <w:r>
        <w:rPr>
          <w:rFonts w:hint="eastAsia" w:ascii="仿宋" w:hAnsi="仿宋" w:eastAsia="仿宋"/>
          <w:snapToGrid w:val="0"/>
          <w:sz w:val="24"/>
          <w:lang w:val="en-US" w:eastAsia="zh-CN"/>
        </w:rPr>
        <w:t>社会实践</w:t>
      </w:r>
      <w:r>
        <w:rPr>
          <w:rFonts w:hint="eastAsia" w:ascii="仿宋" w:hAnsi="仿宋" w:eastAsia="仿宋"/>
          <w:snapToGrid w:val="0"/>
          <w:sz w:val="24"/>
          <w:lang w:eastAsia="zh-CN"/>
        </w:rPr>
        <w:t>团体荣誉的，团体成员加0.3分。</w:t>
      </w:r>
    </w:p>
    <w:p w14:paraId="5050688A">
      <w:pPr>
        <w:spacing w:line="360" w:lineRule="auto"/>
        <w:ind w:firstLine="482" w:firstLineChars="200"/>
        <w:rPr>
          <w:rFonts w:ascii="仿宋" w:hAnsi="仿宋" w:eastAsia="仿宋"/>
          <w:b/>
          <w:snapToGrid w:val="0"/>
          <w:kern w:val="0"/>
          <w:sz w:val="24"/>
        </w:rPr>
      </w:pPr>
      <w:r>
        <w:rPr>
          <w:rFonts w:hint="eastAsia" w:ascii="仿宋" w:hAnsi="仿宋" w:eastAsia="仿宋"/>
          <w:b/>
          <w:snapToGrid w:val="0"/>
          <w:kern w:val="0"/>
          <w:sz w:val="24"/>
        </w:rPr>
        <w:t>D. 学术创新</w:t>
      </w:r>
    </w:p>
    <w:p w14:paraId="664EB503">
      <w:pPr>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总分为4分，基本分为2分，在基本分的基础上进行加分，加分上限为2分。</w:t>
      </w:r>
    </w:p>
    <w:p w14:paraId="57E4C651">
      <w:pPr>
        <w:pStyle w:val="9"/>
        <w:numPr>
          <w:ilvl w:val="0"/>
          <w:numId w:val="7"/>
        </w:numPr>
        <w:spacing w:line="360" w:lineRule="auto"/>
        <w:rPr>
          <w:rFonts w:ascii="仿宋" w:hAnsi="仿宋" w:eastAsia="仿宋"/>
          <w:snapToGrid w:val="0"/>
          <w:sz w:val="24"/>
          <w:lang w:eastAsia="zh-CN"/>
        </w:rPr>
      </w:pPr>
      <w:r>
        <w:rPr>
          <w:rFonts w:hint="eastAsia" w:ascii="仿宋" w:hAnsi="仿宋" w:eastAsia="仿宋"/>
          <w:snapToGrid w:val="0"/>
          <w:sz w:val="24"/>
          <w:lang w:eastAsia="zh-CN"/>
        </w:rPr>
        <w:t>当学期在国内外核心、权威刊物上</w:t>
      </w:r>
      <w:r>
        <w:rPr>
          <w:rFonts w:hint="eastAsia" w:ascii="仿宋" w:hAnsi="仿宋" w:eastAsia="仿宋"/>
          <w:snapToGrid w:val="0"/>
          <w:sz w:val="24"/>
          <w:lang w:val="en-US" w:eastAsia="zh-CN"/>
        </w:rPr>
        <w:t>公开</w:t>
      </w:r>
      <w:r>
        <w:rPr>
          <w:rFonts w:hint="eastAsia" w:ascii="仿宋" w:hAnsi="仿宋" w:eastAsia="仿宋"/>
          <w:snapToGrid w:val="0"/>
          <w:sz w:val="24"/>
          <w:lang w:eastAsia="zh-CN"/>
        </w:rPr>
        <w:t>发表论文，在规定时间内提供相关证明，经院系评定以第一作者发表每篇论文加1.5分，以第二作者发表每篇论文加1分；</w:t>
      </w:r>
    </w:p>
    <w:p w14:paraId="634678E3">
      <w:pPr>
        <w:pStyle w:val="9"/>
        <w:numPr>
          <w:ilvl w:val="0"/>
          <w:numId w:val="7"/>
        </w:numPr>
        <w:spacing w:line="360" w:lineRule="auto"/>
        <w:rPr>
          <w:rFonts w:ascii="仿宋" w:hAnsi="仿宋" w:eastAsia="仿宋"/>
          <w:snapToGrid w:val="0"/>
          <w:sz w:val="24"/>
          <w:lang w:eastAsia="zh-CN"/>
        </w:rPr>
      </w:pPr>
      <w:r>
        <w:rPr>
          <w:rFonts w:hint="eastAsia" w:ascii="仿宋" w:hAnsi="仿宋" w:eastAsia="仿宋"/>
          <w:snapToGrid w:val="0"/>
          <w:sz w:val="24"/>
          <w:lang w:eastAsia="zh-CN"/>
        </w:rPr>
        <w:t>当学期出版专著、译著，在规定时间内提供相关证明，经院系评定以第一作者身份出版每本加1-1.5分，以第二作者出版每本加0.5-1分；</w:t>
      </w:r>
    </w:p>
    <w:p w14:paraId="6B5DC2E2">
      <w:pPr>
        <w:pStyle w:val="9"/>
        <w:numPr>
          <w:ilvl w:val="0"/>
          <w:numId w:val="7"/>
        </w:numPr>
        <w:spacing w:line="360" w:lineRule="auto"/>
        <w:rPr>
          <w:rFonts w:ascii="仿宋" w:hAnsi="仿宋" w:eastAsia="仿宋"/>
          <w:snapToGrid w:val="0"/>
          <w:sz w:val="24"/>
          <w:lang w:eastAsia="zh-CN"/>
        </w:rPr>
      </w:pPr>
      <w:r>
        <w:rPr>
          <w:rFonts w:hint="eastAsia" w:ascii="仿宋" w:hAnsi="仿宋" w:eastAsia="仿宋"/>
          <w:snapToGrid w:val="0"/>
          <w:sz w:val="24"/>
          <w:lang w:eastAsia="zh-CN"/>
        </w:rPr>
        <w:t>当学期学生个人获上海市级学术科技类竞赛奖项的，在规定时间内提供相关证明，一等奖加1分，二等奖0.8分，三等奖0.5分，四到六等奖0.2分；</w:t>
      </w:r>
    </w:p>
    <w:p w14:paraId="714146AF">
      <w:pPr>
        <w:pStyle w:val="9"/>
        <w:numPr>
          <w:ilvl w:val="0"/>
          <w:numId w:val="7"/>
        </w:numPr>
        <w:spacing w:line="360" w:lineRule="auto"/>
        <w:rPr>
          <w:rFonts w:ascii="仿宋" w:hAnsi="仿宋" w:eastAsia="仿宋"/>
          <w:snapToGrid w:val="0"/>
          <w:sz w:val="24"/>
          <w:lang w:eastAsia="zh-CN"/>
        </w:rPr>
      </w:pPr>
      <w:r>
        <w:rPr>
          <w:rFonts w:hint="eastAsia" w:ascii="仿宋" w:hAnsi="仿宋" w:eastAsia="仿宋"/>
          <w:snapToGrid w:val="0"/>
          <w:sz w:val="24"/>
          <w:lang w:eastAsia="zh-CN"/>
        </w:rPr>
        <w:t>当学期学生团体获上海市级学术科技类竞赛奖项的，在规定时间内提供相关证明，经院系评定，团队成员一等奖加0.8-1分，二等奖0.5-0.8分，三等奖0.2-0.5分；</w:t>
      </w:r>
    </w:p>
    <w:p w14:paraId="2755FC4C">
      <w:pPr>
        <w:pStyle w:val="9"/>
        <w:numPr>
          <w:ilvl w:val="0"/>
          <w:numId w:val="7"/>
        </w:numPr>
        <w:spacing w:line="360" w:lineRule="auto"/>
        <w:rPr>
          <w:rFonts w:ascii="仿宋" w:hAnsi="仿宋" w:eastAsia="仿宋"/>
          <w:snapToGrid w:val="0"/>
          <w:sz w:val="24"/>
          <w:lang w:eastAsia="zh-CN"/>
        </w:rPr>
      </w:pPr>
      <w:r>
        <w:rPr>
          <w:rFonts w:hint="eastAsia" w:ascii="仿宋" w:hAnsi="仿宋" w:eastAsia="仿宋"/>
          <w:snapToGrid w:val="0"/>
          <w:sz w:val="24"/>
          <w:lang w:eastAsia="zh-CN"/>
        </w:rPr>
        <w:t>当学期学生个人获全国性大学生学术科技类竞赛奖项的，在规定时间内提供相关证明，一等奖加1.5分，二等奖1.2分，三等奖0.9分，四到六等奖0.6分；</w:t>
      </w:r>
    </w:p>
    <w:p w14:paraId="3C39359B">
      <w:pPr>
        <w:pStyle w:val="9"/>
        <w:numPr>
          <w:ilvl w:val="0"/>
          <w:numId w:val="7"/>
        </w:numPr>
        <w:spacing w:line="360" w:lineRule="auto"/>
        <w:rPr>
          <w:rFonts w:ascii="仿宋" w:hAnsi="仿宋" w:eastAsia="仿宋"/>
          <w:snapToGrid w:val="0"/>
          <w:sz w:val="24"/>
          <w:lang w:eastAsia="zh-CN"/>
        </w:rPr>
      </w:pPr>
      <w:r>
        <w:rPr>
          <w:rFonts w:hint="eastAsia" w:ascii="仿宋" w:hAnsi="仿宋" w:eastAsia="仿宋"/>
          <w:snapToGrid w:val="0"/>
          <w:sz w:val="24"/>
          <w:lang w:eastAsia="zh-CN"/>
        </w:rPr>
        <w:t>当学期学生团体获全国性学术科技类竞赛奖项的，在规定时间内提供相关证明，经院系评定，团队成员一等奖加0.8-1分，二等奖0.5-0.8分，三等奖0.2-0.5分；</w:t>
      </w:r>
    </w:p>
    <w:p w14:paraId="18BE1184">
      <w:pPr>
        <w:pStyle w:val="9"/>
        <w:numPr>
          <w:ilvl w:val="0"/>
          <w:numId w:val="7"/>
        </w:numPr>
        <w:spacing w:line="360" w:lineRule="auto"/>
        <w:rPr>
          <w:rFonts w:ascii="仿宋" w:hAnsi="仿宋" w:eastAsia="仿宋" w:cs="宋体"/>
          <w:b/>
          <w:snapToGrid w:val="0"/>
          <w:sz w:val="24"/>
          <w:lang w:eastAsia="zh-CN"/>
        </w:rPr>
      </w:pPr>
      <w:r>
        <w:rPr>
          <w:rFonts w:hint="eastAsia" w:ascii="仿宋" w:hAnsi="仿宋" w:eastAsia="仿宋"/>
          <w:snapToGrid w:val="0"/>
          <w:sz w:val="24"/>
          <w:lang w:val="en-US" w:eastAsia="zh-CN"/>
        </w:rPr>
        <w:t>各类学术竞赛原则上应属全国普通高校大学生竞赛榜单等具有官方举办、权威性、代表性的项目，或经</w:t>
      </w:r>
      <w:r>
        <w:rPr>
          <w:rFonts w:hint="eastAsia" w:ascii="仿宋" w:hAnsi="仿宋" w:eastAsia="仿宋"/>
          <w:snapToGrid w:val="0"/>
          <w:sz w:val="24"/>
          <w:lang w:eastAsia="zh-CN"/>
        </w:rPr>
        <w:t>院（系）认可的学术、科研成果、在中外文化交流中做出贡献的作品</w:t>
      </w:r>
      <w:r>
        <w:rPr>
          <w:rFonts w:hint="eastAsia" w:ascii="仿宋" w:hAnsi="仿宋" w:eastAsia="仿宋"/>
          <w:snapToGrid w:val="0"/>
          <w:sz w:val="24"/>
          <w:lang w:val="en-US" w:eastAsia="zh-CN"/>
        </w:rPr>
        <w:t>方可获得</w:t>
      </w:r>
      <w:r>
        <w:rPr>
          <w:rFonts w:hint="eastAsia" w:ascii="仿宋" w:hAnsi="仿宋" w:eastAsia="仿宋"/>
          <w:snapToGrid w:val="0"/>
          <w:sz w:val="24"/>
          <w:lang w:eastAsia="zh-CN"/>
        </w:rPr>
        <w:t>加分，</w:t>
      </w:r>
      <w:r>
        <w:rPr>
          <w:rFonts w:hint="eastAsia" w:ascii="仿宋" w:hAnsi="仿宋" w:eastAsia="仿宋"/>
          <w:snapToGrid w:val="0"/>
          <w:sz w:val="24"/>
          <w:lang w:val="en-US" w:eastAsia="zh-CN"/>
        </w:rPr>
        <w:t>加分</w:t>
      </w:r>
      <w:r>
        <w:rPr>
          <w:rFonts w:hint="eastAsia" w:ascii="仿宋" w:hAnsi="仿宋" w:eastAsia="仿宋"/>
          <w:snapToGrid w:val="0"/>
          <w:sz w:val="24"/>
          <w:lang w:eastAsia="zh-CN"/>
        </w:rPr>
        <w:t>上限0.5分。</w:t>
      </w:r>
    </w:p>
    <w:p w14:paraId="19F1636D">
      <w:pPr>
        <w:spacing w:line="360" w:lineRule="auto"/>
        <w:ind w:firstLine="482" w:firstLineChars="200"/>
        <w:rPr>
          <w:rFonts w:ascii="仿宋" w:hAnsi="仿宋" w:eastAsia="仿宋" w:cs="宋体"/>
          <w:b/>
          <w:snapToGrid w:val="0"/>
          <w:kern w:val="0"/>
          <w:sz w:val="24"/>
        </w:rPr>
      </w:pPr>
      <w:r>
        <w:rPr>
          <w:rFonts w:hint="eastAsia" w:ascii="仿宋" w:hAnsi="仿宋" w:eastAsia="仿宋" w:cs="宋体"/>
          <w:b/>
          <w:snapToGrid w:val="0"/>
          <w:kern w:val="0"/>
          <w:sz w:val="24"/>
        </w:rPr>
        <w:t>三、综合素质测评分提交流程</w:t>
      </w:r>
    </w:p>
    <w:p w14:paraId="7FD4D172">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1. 每学期奖学金评定通知发布后，学生根据要求提交本人综合素质测评自评分表及加分材料。</w:t>
      </w:r>
    </w:p>
    <w:p w14:paraId="3F117900">
      <w:pPr>
        <w:spacing w:line="360" w:lineRule="auto"/>
        <w:ind w:firstLine="480" w:firstLineChars="200"/>
        <w:rPr>
          <w:rFonts w:ascii="仿宋" w:hAnsi="仿宋" w:eastAsia="仿宋" w:cs="宋体"/>
          <w:snapToGrid w:val="0"/>
          <w:kern w:val="0"/>
          <w:sz w:val="24"/>
        </w:rPr>
      </w:pPr>
      <w:r>
        <w:rPr>
          <w:rFonts w:hint="eastAsia" w:ascii="仿宋" w:hAnsi="仿宋" w:eastAsia="仿宋" w:cs="宋体"/>
          <w:snapToGrid w:val="0"/>
          <w:kern w:val="0"/>
          <w:sz w:val="24"/>
        </w:rPr>
        <w:t>2. 由班级评定小组将相关材料汇总后报送至辅导员处。</w:t>
      </w:r>
    </w:p>
    <w:p w14:paraId="07A96326">
      <w:pPr>
        <w:spacing w:line="360" w:lineRule="auto"/>
        <w:ind w:firstLine="482" w:firstLineChars="200"/>
        <w:rPr>
          <w:rFonts w:ascii="仿宋" w:hAnsi="仿宋" w:eastAsia="仿宋" w:cs="宋体"/>
          <w:b/>
          <w:snapToGrid w:val="0"/>
          <w:kern w:val="0"/>
          <w:sz w:val="24"/>
        </w:rPr>
      </w:pPr>
      <w:r>
        <w:rPr>
          <w:rFonts w:hint="eastAsia" w:ascii="仿宋" w:hAnsi="仿宋" w:eastAsia="仿宋" w:cs="宋体"/>
          <w:b/>
          <w:bCs/>
          <w:snapToGrid w:val="0"/>
          <w:kern w:val="0"/>
          <w:sz w:val="24"/>
        </w:rPr>
        <w:t>四、本细则由上海外国语大学学生处授权国际教育学院负责解释。</w:t>
      </w:r>
    </w:p>
    <w:p w14:paraId="4A889F1E">
      <w:pPr>
        <w:spacing w:line="360" w:lineRule="auto"/>
        <w:ind w:firstLine="482" w:firstLineChars="200"/>
        <w:rPr>
          <w:rFonts w:ascii="仿宋" w:hAnsi="仿宋" w:eastAsia="仿宋" w:cs="宋体"/>
          <w:snapToGrid w:val="0"/>
          <w:kern w:val="0"/>
          <w:sz w:val="24"/>
        </w:rPr>
      </w:pPr>
      <w:r>
        <w:rPr>
          <w:rFonts w:hint="eastAsia" w:ascii="仿宋" w:hAnsi="仿宋" w:eastAsia="仿宋" w:cs="宋体"/>
          <w:b/>
          <w:bCs/>
          <w:snapToGrid w:val="0"/>
          <w:kern w:val="0"/>
          <w:sz w:val="24"/>
        </w:rPr>
        <w:t>五、本细则即日起施行，本实施办法施行前的原规定予以废止。</w:t>
      </w:r>
    </w:p>
    <w:p w14:paraId="7728C840">
      <w:pPr>
        <w:spacing w:line="360" w:lineRule="auto"/>
        <w:ind w:right="480" w:firstLine="480" w:firstLineChars="200"/>
        <w:jc w:val="left"/>
        <w:rPr>
          <w:rFonts w:ascii="仿宋" w:hAnsi="仿宋" w:eastAsia="仿宋" w:cs="宋体"/>
          <w:bCs/>
          <w:snapToGrid w:val="0"/>
          <w:kern w:val="0"/>
          <w:sz w:val="24"/>
        </w:rPr>
      </w:pPr>
      <w:r>
        <w:rPr>
          <w:rFonts w:hint="eastAsia" w:ascii="仿宋" w:hAnsi="仿宋" w:eastAsia="仿宋" w:cs="宋体"/>
          <w:bCs/>
          <w:snapToGrid w:val="0"/>
          <w:kern w:val="0"/>
          <w:sz w:val="24"/>
        </w:rPr>
        <w:t xml:space="preserve">                                   上海外国语大学国际教育学院</w:t>
      </w:r>
    </w:p>
    <w:p w14:paraId="3A62FE77">
      <w:pPr>
        <w:spacing w:line="360" w:lineRule="auto"/>
        <w:ind w:right="600" w:firstLine="480" w:firstLineChars="200"/>
        <w:jc w:val="center"/>
        <w:rPr>
          <w:rFonts w:ascii="仿宋" w:hAnsi="仿宋" w:eastAsia="仿宋" w:cs="宋体"/>
          <w:bCs/>
          <w:snapToGrid w:val="0"/>
          <w:kern w:val="0"/>
          <w:sz w:val="24"/>
        </w:rPr>
      </w:pPr>
      <w:r>
        <w:rPr>
          <w:rFonts w:hint="eastAsia" w:ascii="仿宋" w:hAnsi="仿宋" w:eastAsia="仿宋" w:cs="宋体"/>
          <w:bCs/>
          <w:snapToGrid w:val="0"/>
          <w:kern w:val="0"/>
          <w:sz w:val="24"/>
        </w:rPr>
        <w:t xml:space="preserve">                                                20</w:t>
      </w:r>
      <w:r>
        <w:rPr>
          <w:rFonts w:ascii="仿宋" w:hAnsi="仿宋" w:eastAsia="仿宋" w:cs="宋体"/>
          <w:bCs/>
          <w:snapToGrid w:val="0"/>
          <w:kern w:val="0"/>
          <w:sz w:val="24"/>
        </w:rPr>
        <w:t>2</w:t>
      </w:r>
      <w:r>
        <w:rPr>
          <w:rFonts w:hint="eastAsia" w:ascii="仿宋" w:hAnsi="仿宋" w:eastAsia="仿宋" w:cs="宋体"/>
          <w:bCs/>
          <w:snapToGrid w:val="0"/>
          <w:kern w:val="0"/>
          <w:sz w:val="24"/>
          <w:lang w:val="en-US" w:eastAsia="zh-CN"/>
        </w:rPr>
        <w:t>5</w:t>
      </w:r>
      <w:r>
        <w:rPr>
          <w:rFonts w:hint="eastAsia" w:ascii="仿宋" w:hAnsi="仿宋" w:eastAsia="仿宋" w:cs="宋体"/>
          <w:bCs/>
          <w:snapToGrid w:val="0"/>
          <w:kern w:val="0"/>
          <w:sz w:val="24"/>
        </w:rPr>
        <w:t>年</w:t>
      </w:r>
      <w:r>
        <w:rPr>
          <w:rFonts w:hint="eastAsia" w:ascii="仿宋" w:hAnsi="仿宋" w:eastAsia="仿宋" w:cs="宋体"/>
          <w:bCs/>
          <w:snapToGrid w:val="0"/>
          <w:kern w:val="0"/>
          <w:sz w:val="24"/>
          <w:lang w:val="en-US" w:eastAsia="zh-CN"/>
        </w:rPr>
        <w:t>2</w:t>
      </w:r>
      <w:r>
        <w:rPr>
          <w:rFonts w:hint="eastAsia" w:ascii="仿宋" w:hAnsi="仿宋" w:eastAsia="仿宋" w:cs="宋体"/>
          <w:bCs/>
          <w:snapToGrid w:val="0"/>
          <w:kern w:val="0"/>
          <w:sz w:val="24"/>
        </w:rPr>
        <w:t>月</w:t>
      </w:r>
    </w:p>
    <w:p w14:paraId="04CA47B1">
      <w:pPr>
        <w:ind w:firstLine="420" w:firstLineChars="200"/>
        <w:rPr>
          <w:szCs w:val="21"/>
        </w:rPr>
      </w:pPr>
    </w:p>
    <w:sectPr>
      <w:footerReference r:id="rId3" w:type="default"/>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449358"/>
    </w:sdtPr>
    <w:sdtContent>
      <w:sdt>
        <w:sdtPr>
          <w:id w:val="171357217"/>
        </w:sdtPr>
        <w:sdtContent>
          <w:p w14:paraId="63D95FE5">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0A665D4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22C15"/>
    <w:multiLevelType w:val="multilevel"/>
    <w:tmpl w:val="05122C15"/>
    <w:lvl w:ilvl="0" w:tentative="0">
      <w:start w:val="1"/>
      <w:numFmt w:val="decimalEnclosedCircle"/>
      <w:lvlText w:val="%1"/>
      <w:lvlJc w:val="left"/>
      <w:pPr>
        <w:ind w:left="284" w:hanging="224"/>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7A14EA2"/>
    <w:multiLevelType w:val="multilevel"/>
    <w:tmpl w:val="07A14EA2"/>
    <w:lvl w:ilvl="0" w:tentative="0">
      <w:start w:val="1"/>
      <w:numFmt w:val="decimalEnclosedCircle"/>
      <w:lvlText w:val="%1"/>
      <w:lvlJc w:val="left"/>
      <w:pPr>
        <w:ind w:left="284" w:hanging="224"/>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2">
    <w:nsid w:val="17CC1F82"/>
    <w:multiLevelType w:val="multilevel"/>
    <w:tmpl w:val="17CC1F82"/>
    <w:lvl w:ilvl="0" w:tentative="0">
      <w:start w:val="1"/>
      <w:numFmt w:val="decimalEnclosedCircle"/>
      <w:lvlText w:val="%1"/>
      <w:lvlJc w:val="left"/>
      <w:pPr>
        <w:ind w:left="284" w:hanging="224"/>
      </w:pPr>
      <w:rPr>
        <w:rFonts w:hint="default"/>
      </w:rPr>
    </w:lvl>
    <w:lvl w:ilvl="1" w:tentative="0">
      <w:start w:val="1"/>
      <w:numFmt w:val="lowerLetter"/>
      <w:lvlText w:val="%2)"/>
      <w:lvlJc w:val="left"/>
      <w:pPr>
        <w:ind w:left="2117" w:hanging="420"/>
      </w:pPr>
    </w:lvl>
    <w:lvl w:ilvl="2" w:tentative="0">
      <w:start w:val="1"/>
      <w:numFmt w:val="lowerRoman"/>
      <w:lvlText w:val="%3."/>
      <w:lvlJc w:val="right"/>
      <w:pPr>
        <w:ind w:left="2537" w:hanging="420"/>
      </w:pPr>
    </w:lvl>
    <w:lvl w:ilvl="3" w:tentative="0">
      <w:start w:val="1"/>
      <w:numFmt w:val="decimal"/>
      <w:lvlText w:val="%4."/>
      <w:lvlJc w:val="left"/>
      <w:pPr>
        <w:ind w:left="2957" w:hanging="420"/>
      </w:pPr>
    </w:lvl>
    <w:lvl w:ilvl="4" w:tentative="0">
      <w:start w:val="1"/>
      <w:numFmt w:val="lowerLetter"/>
      <w:lvlText w:val="%5)"/>
      <w:lvlJc w:val="left"/>
      <w:pPr>
        <w:ind w:left="3377" w:hanging="420"/>
      </w:pPr>
    </w:lvl>
    <w:lvl w:ilvl="5" w:tentative="0">
      <w:start w:val="1"/>
      <w:numFmt w:val="lowerRoman"/>
      <w:lvlText w:val="%6."/>
      <w:lvlJc w:val="right"/>
      <w:pPr>
        <w:ind w:left="3797" w:hanging="420"/>
      </w:pPr>
    </w:lvl>
    <w:lvl w:ilvl="6" w:tentative="0">
      <w:start w:val="1"/>
      <w:numFmt w:val="decimal"/>
      <w:lvlText w:val="%7."/>
      <w:lvlJc w:val="left"/>
      <w:pPr>
        <w:ind w:left="4217" w:hanging="420"/>
      </w:pPr>
    </w:lvl>
    <w:lvl w:ilvl="7" w:tentative="0">
      <w:start w:val="1"/>
      <w:numFmt w:val="lowerLetter"/>
      <w:lvlText w:val="%8)"/>
      <w:lvlJc w:val="left"/>
      <w:pPr>
        <w:ind w:left="4637" w:hanging="420"/>
      </w:pPr>
    </w:lvl>
    <w:lvl w:ilvl="8" w:tentative="0">
      <w:start w:val="1"/>
      <w:numFmt w:val="lowerRoman"/>
      <w:lvlText w:val="%9."/>
      <w:lvlJc w:val="right"/>
      <w:pPr>
        <w:ind w:left="5057" w:hanging="420"/>
      </w:pPr>
    </w:lvl>
  </w:abstractNum>
  <w:abstractNum w:abstractNumId="3">
    <w:nsid w:val="2AED7720"/>
    <w:multiLevelType w:val="multilevel"/>
    <w:tmpl w:val="2AED7720"/>
    <w:lvl w:ilvl="0" w:tentative="0">
      <w:start w:val="1"/>
      <w:numFmt w:val="decimalEnclosedCircle"/>
      <w:lvlText w:val="%1"/>
      <w:lvlJc w:val="left"/>
      <w:pPr>
        <w:ind w:left="284" w:hanging="224"/>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
    <w:nsid w:val="366203A6"/>
    <w:multiLevelType w:val="multilevel"/>
    <w:tmpl w:val="366203A6"/>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746D5CD3"/>
    <w:multiLevelType w:val="multilevel"/>
    <w:tmpl w:val="746D5CD3"/>
    <w:lvl w:ilvl="0" w:tentative="0">
      <w:start w:val="1"/>
      <w:numFmt w:val="decimalEnclosedCircle"/>
      <w:lvlText w:val="%1"/>
      <w:lvlJc w:val="left"/>
      <w:pPr>
        <w:ind w:left="284" w:hanging="224"/>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5"/>
  </w:num>
  <w:num w:numId="3">
    <w:abstractNumId w:val="3"/>
  </w:num>
  <w:num w:numId="4">
    <w:abstractNumId w:val="0"/>
  </w:num>
  <w:num w:numId="5">
    <w:abstractNumId w:val="2"/>
  </w:num>
  <w:num w:numId="6">
    <w:abstractNumId w:val="2"/>
    <w:lvlOverride w:ilvl="0">
      <w:lvl w:ilvl="0" w:tentative="1">
        <w:start w:val="1"/>
        <w:numFmt w:val="decimalEnclosedCircle"/>
        <w:lvlText w:val="%1"/>
        <w:lvlJc w:val="left"/>
        <w:pPr>
          <w:ind w:left="284" w:hanging="224"/>
        </w:pPr>
        <w:rPr>
          <w:rFonts w:hint="default"/>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RmNWE1NGZiOWUzZGRlZjY0MzljNTRhYWNmYjNhYTEifQ=="/>
  </w:docVars>
  <w:rsids>
    <w:rsidRoot w:val="00F10C0A"/>
    <w:rsid w:val="00022E76"/>
    <w:rsid w:val="0002797A"/>
    <w:rsid w:val="000373D0"/>
    <w:rsid w:val="00061641"/>
    <w:rsid w:val="00066430"/>
    <w:rsid w:val="00076C6E"/>
    <w:rsid w:val="000C0BD9"/>
    <w:rsid w:val="000C1FE3"/>
    <w:rsid w:val="000C679D"/>
    <w:rsid w:val="000D410E"/>
    <w:rsid w:val="000D51EC"/>
    <w:rsid w:val="0010611C"/>
    <w:rsid w:val="001205A5"/>
    <w:rsid w:val="0018175E"/>
    <w:rsid w:val="00185B0E"/>
    <w:rsid w:val="001A0B25"/>
    <w:rsid w:val="001B0F2D"/>
    <w:rsid w:val="001B496D"/>
    <w:rsid w:val="001B79AF"/>
    <w:rsid w:val="001E4699"/>
    <w:rsid w:val="001E5912"/>
    <w:rsid w:val="00207CF8"/>
    <w:rsid w:val="00216D81"/>
    <w:rsid w:val="0024580F"/>
    <w:rsid w:val="00253D4A"/>
    <w:rsid w:val="0028115E"/>
    <w:rsid w:val="002931DB"/>
    <w:rsid w:val="00296880"/>
    <w:rsid w:val="002A0589"/>
    <w:rsid w:val="002A29A1"/>
    <w:rsid w:val="002A7545"/>
    <w:rsid w:val="003222F8"/>
    <w:rsid w:val="00351EC0"/>
    <w:rsid w:val="00361A44"/>
    <w:rsid w:val="00373061"/>
    <w:rsid w:val="00393605"/>
    <w:rsid w:val="003F041D"/>
    <w:rsid w:val="00401C50"/>
    <w:rsid w:val="00402CD0"/>
    <w:rsid w:val="00405A9B"/>
    <w:rsid w:val="00427569"/>
    <w:rsid w:val="00436DCE"/>
    <w:rsid w:val="00480BEC"/>
    <w:rsid w:val="00480F97"/>
    <w:rsid w:val="004D1C53"/>
    <w:rsid w:val="004D2C0C"/>
    <w:rsid w:val="004D3870"/>
    <w:rsid w:val="004D65EF"/>
    <w:rsid w:val="0050057C"/>
    <w:rsid w:val="00501D19"/>
    <w:rsid w:val="00585B69"/>
    <w:rsid w:val="005B1F62"/>
    <w:rsid w:val="005C635D"/>
    <w:rsid w:val="00611637"/>
    <w:rsid w:val="0061789F"/>
    <w:rsid w:val="00657952"/>
    <w:rsid w:val="0069026B"/>
    <w:rsid w:val="00695415"/>
    <w:rsid w:val="00695F4B"/>
    <w:rsid w:val="006A650D"/>
    <w:rsid w:val="006A718D"/>
    <w:rsid w:val="006B679A"/>
    <w:rsid w:val="006D5C48"/>
    <w:rsid w:val="006E0B60"/>
    <w:rsid w:val="006E1826"/>
    <w:rsid w:val="007133C6"/>
    <w:rsid w:val="007301B1"/>
    <w:rsid w:val="00743908"/>
    <w:rsid w:val="0074423A"/>
    <w:rsid w:val="00775B13"/>
    <w:rsid w:val="00786AA4"/>
    <w:rsid w:val="00786B94"/>
    <w:rsid w:val="00787C10"/>
    <w:rsid w:val="00791B1A"/>
    <w:rsid w:val="00794242"/>
    <w:rsid w:val="00794661"/>
    <w:rsid w:val="007D65BC"/>
    <w:rsid w:val="00803A3B"/>
    <w:rsid w:val="00807329"/>
    <w:rsid w:val="00812324"/>
    <w:rsid w:val="00827735"/>
    <w:rsid w:val="00863D70"/>
    <w:rsid w:val="008A1E8C"/>
    <w:rsid w:val="008A230E"/>
    <w:rsid w:val="008A3317"/>
    <w:rsid w:val="008F2BE3"/>
    <w:rsid w:val="00901EFC"/>
    <w:rsid w:val="00902013"/>
    <w:rsid w:val="009118B5"/>
    <w:rsid w:val="00937D59"/>
    <w:rsid w:val="00964880"/>
    <w:rsid w:val="009650E0"/>
    <w:rsid w:val="00966FDA"/>
    <w:rsid w:val="009679BC"/>
    <w:rsid w:val="00971E38"/>
    <w:rsid w:val="00972DC6"/>
    <w:rsid w:val="00980FD0"/>
    <w:rsid w:val="009868F0"/>
    <w:rsid w:val="00992937"/>
    <w:rsid w:val="00997AFB"/>
    <w:rsid w:val="009A06E4"/>
    <w:rsid w:val="009A6F4D"/>
    <w:rsid w:val="009C6539"/>
    <w:rsid w:val="009F692D"/>
    <w:rsid w:val="00A003DB"/>
    <w:rsid w:val="00A31C72"/>
    <w:rsid w:val="00A4315E"/>
    <w:rsid w:val="00A500DE"/>
    <w:rsid w:val="00A821A2"/>
    <w:rsid w:val="00A97A28"/>
    <w:rsid w:val="00AA654A"/>
    <w:rsid w:val="00AA775D"/>
    <w:rsid w:val="00AE62FC"/>
    <w:rsid w:val="00B055C2"/>
    <w:rsid w:val="00B24414"/>
    <w:rsid w:val="00B44FD4"/>
    <w:rsid w:val="00B516D7"/>
    <w:rsid w:val="00B703A0"/>
    <w:rsid w:val="00B709AA"/>
    <w:rsid w:val="00B71CE8"/>
    <w:rsid w:val="00B959A8"/>
    <w:rsid w:val="00BE3689"/>
    <w:rsid w:val="00BF65C2"/>
    <w:rsid w:val="00C40129"/>
    <w:rsid w:val="00C40933"/>
    <w:rsid w:val="00C40CC2"/>
    <w:rsid w:val="00C56679"/>
    <w:rsid w:val="00C575B2"/>
    <w:rsid w:val="00C62688"/>
    <w:rsid w:val="00C97745"/>
    <w:rsid w:val="00CA1C41"/>
    <w:rsid w:val="00CA28D8"/>
    <w:rsid w:val="00CB339C"/>
    <w:rsid w:val="00D118B4"/>
    <w:rsid w:val="00D12595"/>
    <w:rsid w:val="00D241D6"/>
    <w:rsid w:val="00D31417"/>
    <w:rsid w:val="00D35A60"/>
    <w:rsid w:val="00D429D6"/>
    <w:rsid w:val="00D44CD0"/>
    <w:rsid w:val="00DA0D32"/>
    <w:rsid w:val="00DB3FE8"/>
    <w:rsid w:val="00DD145E"/>
    <w:rsid w:val="00E139A4"/>
    <w:rsid w:val="00E13CDB"/>
    <w:rsid w:val="00E62EB1"/>
    <w:rsid w:val="00ED09AE"/>
    <w:rsid w:val="00EE694E"/>
    <w:rsid w:val="00F10C0A"/>
    <w:rsid w:val="00F30BD6"/>
    <w:rsid w:val="00F37B6F"/>
    <w:rsid w:val="00F54602"/>
    <w:rsid w:val="00F8315C"/>
    <w:rsid w:val="00F91932"/>
    <w:rsid w:val="00FB29E5"/>
    <w:rsid w:val="00FB3CD3"/>
    <w:rsid w:val="00FD0348"/>
    <w:rsid w:val="03D32E46"/>
    <w:rsid w:val="05290F57"/>
    <w:rsid w:val="05F6352F"/>
    <w:rsid w:val="06A72A7B"/>
    <w:rsid w:val="07DB2DF7"/>
    <w:rsid w:val="0850206C"/>
    <w:rsid w:val="08C72F61"/>
    <w:rsid w:val="09080EE0"/>
    <w:rsid w:val="09903C9B"/>
    <w:rsid w:val="0A013A51"/>
    <w:rsid w:val="0D21367A"/>
    <w:rsid w:val="0D66403F"/>
    <w:rsid w:val="0E4B63E2"/>
    <w:rsid w:val="133E682B"/>
    <w:rsid w:val="14A44051"/>
    <w:rsid w:val="164C7B59"/>
    <w:rsid w:val="16835BAF"/>
    <w:rsid w:val="16D8458B"/>
    <w:rsid w:val="191A70DD"/>
    <w:rsid w:val="1CE35A09"/>
    <w:rsid w:val="1DD279F6"/>
    <w:rsid w:val="1E205195"/>
    <w:rsid w:val="20376CF7"/>
    <w:rsid w:val="20BA367F"/>
    <w:rsid w:val="23950AC1"/>
    <w:rsid w:val="23A30066"/>
    <w:rsid w:val="245931AF"/>
    <w:rsid w:val="24F84776"/>
    <w:rsid w:val="25DA3E7C"/>
    <w:rsid w:val="26C1503C"/>
    <w:rsid w:val="28887BBF"/>
    <w:rsid w:val="28AA3FD9"/>
    <w:rsid w:val="292F4C68"/>
    <w:rsid w:val="2A450FC1"/>
    <w:rsid w:val="2CDC5D07"/>
    <w:rsid w:val="2D616C31"/>
    <w:rsid w:val="2E331CE9"/>
    <w:rsid w:val="2FE36023"/>
    <w:rsid w:val="311346E6"/>
    <w:rsid w:val="34254F5A"/>
    <w:rsid w:val="34675474"/>
    <w:rsid w:val="34C957E7"/>
    <w:rsid w:val="34F565DC"/>
    <w:rsid w:val="35706ACD"/>
    <w:rsid w:val="37DE3471"/>
    <w:rsid w:val="3801173C"/>
    <w:rsid w:val="394323DA"/>
    <w:rsid w:val="39D8107A"/>
    <w:rsid w:val="3C0161AE"/>
    <w:rsid w:val="3C407BCA"/>
    <w:rsid w:val="3DCF4869"/>
    <w:rsid w:val="3F4E48F7"/>
    <w:rsid w:val="42EA799C"/>
    <w:rsid w:val="4353039E"/>
    <w:rsid w:val="438776C9"/>
    <w:rsid w:val="43CE3973"/>
    <w:rsid w:val="45DE130F"/>
    <w:rsid w:val="4669653E"/>
    <w:rsid w:val="46D63D94"/>
    <w:rsid w:val="472D634D"/>
    <w:rsid w:val="4815632A"/>
    <w:rsid w:val="49B760FE"/>
    <w:rsid w:val="4A183615"/>
    <w:rsid w:val="4B2B2900"/>
    <w:rsid w:val="4CEF395A"/>
    <w:rsid w:val="512A365A"/>
    <w:rsid w:val="55180399"/>
    <w:rsid w:val="572E47F2"/>
    <w:rsid w:val="576176AA"/>
    <w:rsid w:val="58847AF3"/>
    <w:rsid w:val="59672DF6"/>
    <w:rsid w:val="5B11046D"/>
    <w:rsid w:val="5B1F4B1C"/>
    <w:rsid w:val="5D251600"/>
    <w:rsid w:val="5F653D5B"/>
    <w:rsid w:val="60D44B41"/>
    <w:rsid w:val="61447DC6"/>
    <w:rsid w:val="61493688"/>
    <w:rsid w:val="617B23F3"/>
    <w:rsid w:val="61DE64C6"/>
    <w:rsid w:val="62917095"/>
    <w:rsid w:val="68F91E38"/>
    <w:rsid w:val="6A2C3B47"/>
    <w:rsid w:val="6B476E8A"/>
    <w:rsid w:val="6B607F4C"/>
    <w:rsid w:val="6D332B41"/>
    <w:rsid w:val="6D9B526C"/>
    <w:rsid w:val="6DBC0FB2"/>
    <w:rsid w:val="6F2165CA"/>
    <w:rsid w:val="6FEF1509"/>
    <w:rsid w:val="7000465A"/>
    <w:rsid w:val="715765F9"/>
    <w:rsid w:val="718B55F7"/>
    <w:rsid w:val="71AF0244"/>
    <w:rsid w:val="72DB607B"/>
    <w:rsid w:val="74024395"/>
    <w:rsid w:val="74675EA7"/>
    <w:rsid w:val="74915A37"/>
    <w:rsid w:val="74FC4061"/>
    <w:rsid w:val="78B561CB"/>
    <w:rsid w:val="79273E57"/>
    <w:rsid w:val="79FE4FEE"/>
    <w:rsid w:val="7ADB314B"/>
    <w:rsid w:val="7CAB4469"/>
    <w:rsid w:val="7D544B60"/>
    <w:rsid w:val="7DAF6776"/>
    <w:rsid w:val="7E7C4C45"/>
    <w:rsid w:val="7EEA60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列出段落1"/>
    <w:basedOn w:val="1"/>
    <w:qFormat/>
    <w:uiPriority w:val="34"/>
    <w:pPr>
      <w:widowControl/>
      <w:spacing w:after="200" w:line="276" w:lineRule="auto"/>
      <w:ind w:left="720"/>
      <w:contextualSpacing/>
      <w:jc w:val="left"/>
    </w:pPr>
    <w:rPr>
      <w:rFonts w:ascii="Calibri" w:hAnsi="Calibri"/>
      <w:kern w:val="0"/>
      <w:sz w:val="22"/>
      <w:szCs w:val="22"/>
      <w:lang w:eastAsia="en-US" w:bidi="en-US"/>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E56BC-35BD-468D-A5A1-230BC8F72839}">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6</Pages>
  <Words>2258</Words>
  <Characters>2410</Characters>
  <Lines>17</Lines>
  <Paragraphs>4</Paragraphs>
  <TotalTime>0</TotalTime>
  <ScaleCrop>false</ScaleCrop>
  <LinksUpToDate>false</LinksUpToDate>
  <CharactersWithSpaces>2500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2017-02-10T06:06:00Z</dcterms:created>
  <dc:creator>ruiue xu</dc:creator>
  <cp:lastModifiedBy>ZHANGQing</cp:lastModifiedBy>
  <cp:lastPrinted>2025-02-24T06:12:00Z</cp:lastPrinted>
  <dcterms:modified xsi:type="dcterms:W3CDTF">2025-02-26T01:30:15Z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763ECA15A9B74E13B600AF94DAB6064C</vt:lpwstr>
  </property>
  <property fmtid="{D5CDD505-2E9C-101B-9397-08002B2CF9AE}" pid="4" name="KSOTemplateDocerSaveRecord">
    <vt:lpwstr>eyJoZGlkIjoiNjdkZGU5YWNhZTUwN2UyNWJiMzRiZWJiNGQ4NTI0MmIiLCJ1c2VySWQiOiIyNzY5MTc5MTQifQ==</vt:lpwstr>
  </property>
</Properties>
</file>